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A0963" w14:textId="78FC6E92" w:rsidR="0099415A" w:rsidRDefault="0099415A" w:rsidP="0099415A">
      <w:pPr>
        <w:spacing w:after="0" w:line="288" w:lineRule="auto"/>
        <w:jc w:val="center"/>
        <w:rPr>
          <w:rFonts w:ascii="Times New Roman" w:eastAsia="Times New Roman" w:hAnsi="Times New Roman" w:cs="Times New Roman"/>
          <w:b/>
          <w:sz w:val="24"/>
          <w:szCs w:val="24"/>
        </w:rPr>
      </w:pPr>
      <w:r w:rsidRPr="0099415A">
        <w:rPr>
          <w:rFonts w:ascii="Times New Roman" w:eastAsia="Times New Roman" w:hAnsi="Times New Roman" w:cs="Times New Roman"/>
          <w:b/>
          <w:sz w:val="24"/>
          <w:szCs w:val="24"/>
        </w:rPr>
        <w:t>DETERMINASI FAKTOR PREDISPOSISI, ENABLING, DAN REINFORCING TERHADAP KEIKUTSERTAAN BPJS KESEHATAN NON PBI DI KABUPATEN HALMAHERA TENGAH TAHUN 2025</w:t>
      </w:r>
    </w:p>
    <w:p w14:paraId="11B87576" w14:textId="77777777" w:rsidR="0099415A" w:rsidRPr="00322F61" w:rsidRDefault="0099415A" w:rsidP="0099415A">
      <w:pPr>
        <w:spacing w:after="0" w:line="288" w:lineRule="auto"/>
        <w:jc w:val="center"/>
        <w:rPr>
          <w:rFonts w:ascii="Times New Roman" w:eastAsia="Times New Roman" w:hAnsi="Times New Roman" w:cs="Times New Roman"/>
          <w:b/>
          <w:sz w:val="24"/>
          <w:szCs w:val="24"/>
        </w:rPr>
      </w:pPr>
    </w:p>
    <w:p w14:paraId="70F9029B" w14:textId="77777777" w:rsidR="0099415A" w:rsidRPr="0099415A" w:rsidRDefault="0099415A" w:rsidP="0099415A">
      <w:pPr>
        <w:spacing w:after="0" w:line="276" w:lineRule="auto"/>
        <w:jc w:val="center"/>
        <w:rPr>
          <w:rFonts w:ascii="Times New Roman" w:eastAsia="Verdana" w:hAnsi="Times New Roman" w:cs="Times New Roman"/>
          <w:b/>
          <w:bCs/>
          <w:color w:val="231F20"/>
          <w:sz w:val="24"/>
          <w:szCs w:val="24"/>
          <w:lang w:val="fi-FI"/>
        </w:rPr>
      </w:pPr>
      <w:r w:rsidRPr="0099415A">
        <w:rPr>
          <w:rFonts w:ascii="Times New Roman" w:eastAsia="Verdana" w:hAnsi="Times New Roman" w:cs="Times New Roman"/>
          <w:b/>
          <w:bCs/>
          <w:color w:val="231F20"/>
          <w:sz w:val="24"/>
          <w:szCs w:val="24"/>
          <w:lang w:val="fi-FI"/>
        </w:rPr>
        <w:t xml:space="preserve">Hardiyani Idris, Pradnya Paramita, Sri Rahayu </w:t>
      </w:r>
    </w:p>
    <w:p w14:paraId="5C6F9EF7" w14:textId="77777777" w:rsidR="0099415A" w:rsidRPr="0099415A" w:rsidRDefault="0099415A" w:rsidP="0099415A">
      <w:pPr>
        <w:spacing w:after="0" w:line="276" w:lineRule="auto"/>
        <w:jc w:val="center"/>
        <w:rPr>
          <w:rFonts w:ascii="Times New Roman" w:eastAsia="Verdana" w:hAnsi="Times New Roman" w:cs="Times New Roman"/>
          <w:color w:val="231F20"/>
          <w:sz w:val="24"/>
          <w:szCs w:val="24"/>
        </w:rPr>
      </w:pPr>
      <w:r w:rsidRPr="0099415A">
        <w:rPr>
          <w:rFonts w:ascii="Times New Roman" w:eastAsia="Verdana" w:hAnsi="Times New Roman" w:cs="Times New Roman"/>
          <w:color w:val="231F20"/>
          <w:sz w:val="24"/>
          <w:szCs w:val="24"/>
        </w:rPr>
        <w:t xml:space="preserve">Universitas Muhammadiyah Prof. Dr. Hamka, Indonesia </w:t>
      </w:r>
    </w:p>
    <w:p w14:paraId="4582EFE3" w14:textId="1BE5DD83" w:rsidR="00B25DF8" w:rsidRPr="0099415A" w:rsidRDefault="0099415A" w:rsidP="0099415A">
      <w:pPr>
        <w:spacing w:after="0" w:line="276" w:lineRule="auto"/>
        <w:jc w:val="center"/>
        <w:rPr>
          <w:rFonts w:ascii="Times New Roman" w:eastAsia="Times New Roman" w:hAnsi="Times New Roman" w:cs="Times New Roman"/>
          <w:sz w:val="24"/>
          <w:szCs w:val="24"/>
        </w:rPr>
      </w:pPr>
      <w:r w:rsidRPr="0099415A">
        <w:rPr>
          <w:rFonts w:ascii="Times New Roman" w:eastAsia="Verdana" w:hAnsi="Times New Roman" w:cs="Times New Roman"/>
          <w:color w:val="231F20"/>
          <w:sz w:val="24"/>
          <w:szCs w:val="24"/>
        </w:rPr>
        <w:t xml:space="preserve">Email: hardiyaniidris@gmail.com, pradnyaparamita@uhamka.ac.id, </w:t>
      </w:r>
      <w:proofErr w:type="spellStart"/>
      <w:proofErr w:type="gramStart"/>
      <w:r w:rsidRPr="0099415A">
        <w:rPr>
          <w:rFonts w:ascii="Times New Roman" w:eastAsia="Verdana" w:hAnsi="Times New Roman" w:cs="Times New Roman"/>
          <w:color w:val="231F20"/>
          <w:sz w:val="24"/>
          <w:szCs w:val="24"/>
        </w:rPr>
        <w:t>sri_rahayu@uhamka.ac,id</w:t>
      </w:r>
      <w:proofErr w:type="spellEnd"/>
      <w:proofErr w:type="gramEnd"/>
    </w:p>
    <w:p w14:paraId="4B39A4B7" w14:textId="77777777" w:rsidR="00B25DF8" w:rsidRPr="00322F61" w:rsidRDefault="00B25DF8" w:rsidP="0099415A">
      <w:pPr>
        <w:spacing w:after="0" w:line="240" w:lineRule="auto"/>
        <w:rPr>
          <w:rFonts w:ascii="Times New Roman" w:eastAsia="Georgia" w:hAnsi="Times New Roman" w:cs="Times New Roman"/>
        </w:rPr>
      </w:pPr>
    </w:p>
    <w:tbl>
      <w:tblPr>
        <w:tblStyle w:val="a"/>
        <w:tblW w:w="9027" w:type="dxa"/>
        <w:tblBorders>
          <w:top w:val="nil"/>
          <w:left w:val="nil"/>
          <w:bottom w:val="nil"/>
          <w:right w:val="nil"/>
          <w:insideH w:val="nil"/>
          <w:insideV w:val="nil"/>
        </w:tblBorders>
        <w:tblLayout w:type="fixed"/>
        <w:tblLook w:val="0400" w:firstRow="0" w:lastRow="0" w:firstColumn="0" w:lastColumn="0" w:noHBand="0" w:noVBand="1"/>
      </w:tblPr>
      <w:tblGrid>
        <w:gridCol w:w="2486"/>
        <w:gridCol w:w="6541"/>
      </w:tblGrid>
      <w:tr w:rsidR="00B25DF8" w:rsidRPr="00322F61" w14:paraId="02080023" w14:textId="77777777">
        <w:tc>
          <w:tcPr>
            <w:tcW w:w="2486" w:type="dxa"/>
            <w:tcBorders>
              <w:top w:val="single" w:sz="4" w:space="0" w:color="000000"/>
              <w:bottom w:val="single" w:sz="4" w:space="0" w:color="000000"/>
            </w:tcBorders>
          </w:tcPr>
          <w:p w14:paraId="7D70E4BB" w14:textId="77777777" w:rsidR="00B25DF8" w:rsidRPr="00322F61" w:rsidRDefault="00B100F4" w:rsidP="0099415A">
            <w:pPr>
              <w:rPr>
                <w:rFonts w:ascii="Times New Roman" w:eastAsia="Times New Roman" w:hAnsi="Times New Roman" w:cs="Times New Roman"/>
              </w:rPr>
            </w:pPr>
            <w:r w:rsidRPr="00322F61">
              <w:rPr>
                <w:rFonts w:ascii="Times New Roman" w:eastAsia="Times New Roman" w:hAnsi="Times New Roman" w:cs="Times New Roman"/>
                <w:b/>
              </w:rPr>
              <w:t>Keywords​</w:t>
            </w:r>
          </w:p>
        </w:tc>
        <w:tc>
          <w:tcPr>
            <w:tcW w:w="6541" w:type="dxa"/>
            <w:tcBorders>
              <w:top w:val="single" w:sz="4" w:space="0" w:color="000000"/>
              <w:bottom w:val="single" w:sz="4" w:space="0" w:color="000000"/>
            </w:tcBorders>
          </w:tcPr>
          <w:p w14:paraId="6F03DB7B" w14:textId="2F53B3EE" w:rsidR="00B25DF8" w:rsidRPr="00322F61" w:rsidRDefault="00B100F4" w:rsidP="0099415A">
            <w:pPr>
              <w:rPr>
                <w:rFonts w:ascii="Times New Roman" w:eastAsia="Times New Roman" w:hAnsi="Times New Roman" w:cs="Times New Roman"/>
                <w:b/>
              </w:rPr>
            </w:pPr>
            <w:proofErr w:type="spellStart"/>
            <w:r w:rsidRPr="00322F61">
              <w:rPr>
                <w:rFonts w:ascii="Times New Roman" w:eastAsia="Times New Roman" w:hAnsi="Times New Roman" w:cs="Times New Roman"/>
                <w:b/>
              </w:rPr>
              <w:t>Abstra</w:t>
            </w:r>
            <w:r w:rsidR="0099415A">
              <w:rPr>
                <w:rFonts w:ascii="Times New Roman" w:eastAsia="Times New Roman" w:hAnsi="Times New Roman" w:cs="Times New Roman"/>
                <w:b/>
              </w:rPr>
              <w:t>k</w:t>
            </w:r>
            <w:proofErr w:type="spellEnd"/>
          </w:p>
        </w:tc>
      </w:tr>
      <w:tr w:rsidR="00B25DF8" w:rsidRPr="00322F61" w14:paraId="55FF7000" w14:textId="77777777" w:rsidTr="00B100F4">
        <w:trPr>
          <w:trHeight w:val="890"/>
        </w:trPr>
        <w:tc>
          <w:tcPr>
            <w:tcW w:w="2486" w:type="dxa"/>
            <w:tcBorders>
              <w:top w:val="single" w:sz="4" w:space="0" w:color="000000"/>
              <w:bottom w:val="single" w:sz="4" w:space="0" w:color="000000"/>
            </w:tcBorders>
          </w:tcPr>
          <w:p w14:paraId="3591EDA6" w14:textId="47437F3B" w:rsidR="0099415A" w:rsidRDefault="0099415A" w:rsidP="0099415A">
            <w:pPr>
              <w:spacing w:line="242" w:lineRule="auto"/>
              <w:ind w:right="100"/>
              <w:jc w:val="both"/>
              <w:rPr>
                <w:rFonts w:ascii="Times New Roman" w:eastAsia="Times" w:hAnsi="Times New Roman" w:cs="Times New Roman"/>
                <w:sz w:val="24"/>
                <w:szCs w:val="24"/>
                <w:lang w:val="fi-FI"/>
              </w:rPr>
            </w:pPr>
            <w:r w:rsidRPr="0099415A">
              <w:rPr>
                <w:rFonts w:ascii="Times New Roman" w:eastAsia="Times" w:hAnsi="Times New Roman" w:cs="Times New Roman"/>
                <w:sz w:val="24"/>
                <w:szCs w:val="24"/>
                <w:lang w:val="fi-FI"/>
              </w:rPr>
              <w:t>BPJS Kesehatan, Non PBI, partisipasi masyarakat, Halmahera Tengah</w:t>
            </w:r>
            <w:r>
              <w:rPr>
                <w:rFonts w:ascii="Times New Roman" w:eastAsia="Times" w:hAnsi="Times New Roman" w:cs="Times New Roman"/>
                <w:sz w:val="24"/>
                <w:szCs w:val="24"/>
                <w:lang w:val="fi-FI"/>
              </w:rPr>
              <w:t>.</w:t>
            </w:r>
          </w:p>
          <w:p w14:paraId="33D814EA"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3CD1AE21"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7464391E"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6E2BBC4C"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1DF6C63E"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29960C2E"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3C61FC1E"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46B201A5"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358ACCB1"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089AB2B8"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3615A172"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75B8BABA"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20DDFAA4"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3AE16780"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3572D0F3"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346E6F79"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0E7FA604" w14:textId="77777777" w:rsidR="0099415A" w:rsidRDefault="0099415A" w:rsidP="0099415A">
            <w:pPr>
              <w:spacing w:line="242" w:lineRule="auto"/>
              <w:ind w:right="100"/>
              <w:jc w:val="both"/>
              <w:rPr>
                <w:rFonts w:ascii="Times New Roman" w:eastAsia="Times" w:hAnsi="Times New Roman" w:cs="Times New Roman"/>
                <w:sz w:val="24"/>
                <w:szCs w:val="24"/>
                <w:lang w:val="fi-FI"/>
              </w:rPr>
            </w:pPr>
          </w:p>
          <w:p w14:paraId="07F9FB56" w14:textId="3A56C5CF" w:rsidR="00B25DF8" w:rsidRPr="00322F61" w:rsidRDefault="0099415A" w:rsidP="0099415A">
            <w:pPr>
              <w:spacing w:line="242" w:lineRule="auto"/>
              <w:ind w:right="100"/>
              <w:jc w:val="both"/>
              <w:rPr>
                <w:rFonts w:ascii="Times New Roman" w:eastAsia="Verdana" w:hAnsi="Times New Roman" w:cs="Times New Roman"/>
                <w:b/>
                <w:sz w:val="18"/>
                <w:szCs w:val="18"/>
              </w:rPr>
            </w:pPr>
            <w:r>
              <w:rPr>
                <w:rFonts w:ascii="Times New Roman" w:eastAsia="Times" w:hAnsi="Times New Roman" w:cs="Times New Roman"/>
                <w:sz w:val="24"/>
                <w:szCs w:val="24"/>
              </w:rPr>
              <w:t xml:space="preserve">Keyword: </w:t>
            </w:r>
            <w:r w:rsidRPr="0099415A">
              <w:rPr>
                <w:rFonts w:ascii="Times New Roman" w:eastAsia="Times" w:hAnsi="Times New Roman" w:cs="Times New Roman"/>
                <w:sz w:val="24"/>
                <w:szCs w:val="24"/>
              </w:rPr>
              <w:t>BPJS Health; Non-PBI; participation; determinants; Central Halmahera</w:t>
            </w:r>
          </w:p>
        </w:tc>
        <w:tc>
          <w:tcPr>
            <w:tcW w:w="6541" w:type="dxa"/>
            <w:tcBorders>
              <w:top w:val="single" w:sz="4" w:space="0" w:color="000000"/>
              <w:bottom w:val="single" w:sz="4" w:space="0" w:color="000000"/>
            </w:tcBorders>
          </w:tcPr>
          <w:p w14:paraId="1BDB994F" w14:textId="77777777" w:rsidR="0099415A" w:rsidRPr="0099415A" w:rsidRDefault="0099415A" w:rsidP="0099415A">
            <w:pPr>
              <w:spacing w:line="276" w:lineRule="auto"/>
              <w:jc w:val="both"/>
              <w:rPr>
                <w:rFonts w:ascii="Times New Roman" w:eastAsia="Times" w:hAnsi="Times New Roman" w:cs="Times New Roman"/>
                <w:sz w:val="24"/>
                <w:szCs w:val="24"/>
                <w:lang w:val="fi-FI"/>
              </w:rPr>
            </w:pPr>
            <w:r w:rsidRPr="0099415A">
              <w:rPr>
                <w:rFonts w:ascii="Times New Roman" w:eastAsia="Times" w:hAnsi="Times New Roman" w:cs="Times New Roman"/>
                <w:sz w:val="24"/>
                <w:szCs w:val="24"/>
              </w:rPr>
              <w:t xml:space="preserve">Tingkat </w:t>
            </w:r>
            <w:proofErr w:type="spellStart"/>
            <w:r w:rsidRPr="0099415A">
              <w:rPr>
                <w:rFonts w:ascii="Times New Roman" w:eastAsia="Times" w:hAnsi="Times New Roman" w:cs="Times New Roman"/>
                <w:sz w:val="24"/>
                <w:szCs w:val="24"/>
              </w:rPr>
              <w:t>partisipasi</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masyarakat</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Kabupaten</w:t>
            </w:r>
            <w:proofErr w:type="spellEnd"/>
            <w:r w:rsidRPr="0099415A">
              <w:rPr>
                <w:rFonts w:ascii="Times New Roman" w:eastAsia="Times" w:hAnsi="Times New Roman" w:cs="Times New Roman"/>
                <w:sz w:val="24"/>
                <w:szCs w:val="24"/>
              </w:rPr>
              <w:t xml:space="preserve"> Halmahera Tengah </w:t>
            </w:r>
            <w:proofErr w:type="spellStart"/>
            <w:r w:rsidRPr="0099415A">
              <w:rPr>
                <w:rFonts w:ascii="Times New Roman" w:eastAsia="Times" w:hAnsi="Times New Roman" w:cs="Times New Roman"/>
                <w:sz w:val="24"/>
                <w:szCs w:val="24"/>
              </w:rPr>
              <w:t>dalam</w:t>
            </w:r>
            <w:proofErr w:type="spellEnd"/>
            <w:r w:rsidRPr="0099415A">
              <w:rPr>
                <w:rFonts w:ascii="Times New Roman" w:eastAsia="Times" w:hAnsi="Times New Roman" w:cs="Times New Roman"/>
                <w:sz w:val="24"/>
                <w:szCs w:val="24"/>
              </w:rPr>
              <w:t xml:space="preserve"> Program BPJS Kesehatan Non PBI </w:t>
            </w:r>
            <w:proofErr w:type="spellStart"/>
            <w:r w:rsidRPr="0099415A">
              <w:rPr>
                <w:rFonts w:ascii="Times New Roman" w:eastAsia="Times" w:hAnsi="Times New Roman" w:cs="Times New Roman"/>
                <w:sz w:val="24"/>
                <w:szCs w:val="24"/>
              </w:rPr>
              <w:t>masih</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rendah</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jauh</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dari</w:t>
            </w:r>
            <w:proofErr w:type="spellEnd"/>
            <w:r w:rsidRPr="0099415A">
              <w:rPr>
                <w:rFonts w:ascii="Times New Roman" w:eastAsia="Times" w:hAnsi="Times New Roman" w:cs="Times New Roman"/>
                <w:sz w:val="24"/>
                <w:szCs w:val="24"/>
              </w:rPr>
              <w:t xml:space="preserve"> target Universal Health Coverage (UHC). </w:t>
            </w:r>
            <w:proofErr w:type="spellStart"/>
            <w:r w:rsidRPr="0099415A">
              <w:rPr>
                <w:rFonts w:ascii="Times New Roman" w:eastAsia="Times" w:hAnsi="Times New Roman" w:cs="Times New Roman"/>
                <w:sz w:val="24"/>
                <w:szCs w:val="24"/>
              </w:rPr>
              <w:t>Penelitian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ini</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bertujuan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menganalisis</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faktor</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predisposisi</w:t>
            </w:r>
            <w:proofErr w:type="spellEnd"/>
            <w:r w:rsidRPr="0099415A">
              <w:rPr>
                <w:rFonts w:ascii="Times New Roman" w:eastAsia="Times" w:hAnsi="Times New Roman" w:cs="Times New Roman"/>
                <w:sz w:val="24"/>
                <w:szCs w:val="24"/>
              </w:rPr>
              <w:t xml:space="preserve">, enabling, dan reinforcing yang </w:t>
            </w:r>
            <w:proofErr w:type="spellStart"/>
            <w:r w:rsidRPr="0099415A">
              <w:rPr>
                <w:rFonts w:ascii="Times New Roman" w:eastAsia="Times" w:hAnsi="Times New Roman" w:cs="Times New Roman"/>
                <w:sz w:val="24"/>
                <w:szCs w:val="24"/>
              </w:rPr>
              <w:t>memengaruhi</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keikutsertaan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masyarakat</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Penelitian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menggunakan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desain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potong</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lintang</w:t>
            </w:r>
            <w:proofErr w:type="spellEnd"/>
            <w:r w:rsidRPr="0099415A">
              <w:rPr>
                <w:rFonts w:ascii="Times New Roman" w:eastAsia="Times" w:hAnsi="Times New Roman" w:cs="Times New Roman"/>
                <w:sz w:val="24"/>
                <w:szCs w:val="24"/>
              </w:rPr>
              <w:t xml:space="preserve"> (cross-sectional) </w:t>
            </w:r>
            <w:proofErr w:type="spellStart"/>
            <w:r w:rsidRPr="0099415A">
              <w:rPr>
                <w:rFonts w:ascii="Times New Roman" w:eastAsia="Times" w:hAnsi="Times New Roman" w:cs="Times New Roman"/>
                <w:sz w:val="24"/>
                <w:szCs w:val="24"/>
              </w:rPr>
              <w:t>dengan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sampel</w:t>
            </w:r>
            <w:proofErr w:type="spellEnd"/>
            <w:r w:rsidRPr="0099415A">
              <w:rPr>
                <w:rFonts w:ascii="Times New Roman" w:eastAsia="Times" w:hAnsi="Times New Roman" w:cs="Times New Roman"/>
                <w:sz w:val="24"/>
                <w:szCs w:val="24"/>
              </w:rPr>
              <w:t xml:space="preserve"> 248 </w:t>
            </w:r>
            <w:proofErr w:type="spellStart"/>
            <w:r w:rsidRPr="0099415A">
              <w:rPr>
                <w:rFonts w:ascii="Times New Roman" w:eastAsia="Times" w:hAnsi="Times New Roman" w:cs="Times New Roman"/>
                <w:sz w:val="24"/>
                <w:szCs w:val="24"/>
              </w:rPr>
              <w:t>responden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dipilih</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melalui</w:t>
            </w:r>
            <w:proofErr w:type="spellEnd"/>
            <w:r w:rsidRPr="0099415A">
              <w:rPr>
                <w:rFonts w:ascii="Times New Roman" w:eastAsia="Times" w:hAnsi="Times New Roman" w:cs="Times New Roman"/>
                <w:sz w:val="24"/>
                <w:szCs w:val="24"/>
              </w:rPr>
              <w:t xml:space="preserve"> cluster sampling. Data </w:t>
            </w:r>
            <w:proofErr w:type="spellStart"/>
            <w:r w:rsidRPr="0099415A">
              <w:rPr>
                <w:rFonts w:ascii="Times New Roman" w:eastAsia="Times" w:hAnsi="Times New Roman" w:cs="Times New Roman"/>
                <w:sz w:val="24"/>
                <w:szCs w:val="24"/>
              </w:rPr>
              <w:t>dikumpulkan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dengan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kuesioner</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terstruktur</w:t>
            </w:r>
            <w:proofErr w:type="spellEnd"/>
            <w:r w:rsidRPr="0099415A">
              <w:rPr>
                <w:rFonts w:ascii="Times New Roman" w:eastAsia="Times" w:hAnsi="Times New Roman" w:cs="Times New Roman"/>
                <w:sz w:val="24"/>
                <w:szCs w:val="24"/>
              </w:rPr>
              <w:t xml:space="preserve"> dan </w:t>
            </w:r>
            <w:proofErr w:type="spellStart"/>
            <w:r w:rsidRPr="0099415A">
              <w:rPr>
                <w:rFonts w:ascii="Times New Roman" w:eastAsia="Times" w:hAnsi="Times New Roman" w:cs="Times New Roman"/>
                <w:sz w:val="24"/>
                <w:szCs w:val="24"/>
              </w:rPr>
              <w:t>dianalisis</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menggunakan</w:t>
            </w:r>
            <w:proofErr w:type="spellEnd"/>
            <w:r w:rsidRPr="0099415A">
              <w:rPr>
                <w:rFonts w:ascii="Times New Roman" w:eastAsia="Times" w:hAnsi="Times New Roman" w:cs="Times New Roman"/>
                <w:sz w:val="24"/>
                <w:szCs w:val="24"/>
              </w:rPr>
              <w:t xml:space="preserve"> uji Chi-square </w:t>
            </w:r>
            <w:proofErr w:type="spellStart"/>
            <w:r w:rsidRPr="0099415A">
              <w:rPr>
                <w:rFonts w:ascii="Times New Roman" w:eastAsia="Times" w:hAnsi="Times New Roman" w:cs="Times New Roman"/>
                <w:sz w:val="24"/>
                <w:szCs w:val="24"/>
              </w:rPr>
              <w:t>serta</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regresi</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logistik</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multivariat</w:t>
            </w:r>
            <w:proofErr w:type="spellEnd"/>
            <w:r w:rsidRPr="0099415A">
              <w:rPr>
                <w:rFonts w:ascii="Times New Roman" w:eastAsia="Times" w:hAnsi="Times New Roman" w:cs="Times New Roman"/>
                <w:sz w:val="24"/>
                <w:szCs w:val="24"/>
              </w:rPr>
              <w:t xml:space="preserve">. Hasil </w:t>
            </w:r>
            <w:proofErr w:type="spellStart"/>
            <w:r w:rsidRPr="0099415A">
              <w:rPr>
                <w:rFonts w:ascii="Times New Roman" w:eastAsia="Times" w:hAnsi="Times New Roman" w:cs="Times New Roman"/>
                <w:sz w:val="24"/>
                <w:szCs w:val="24"/>
              </w:rPr>
              <w:t>menunjukkan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variabel</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pengetahuan</w:t>
            </w:r>
            <w:proofErr w:type="spellEnd"/>
            <w:r w:rsidRPr="0099415A">
              <w:rPr>
                <w:rFonts w:ascii="Times New Roman" w:eastAsia="Times" w:hAnsi="Times New Roman" w:cs="Times New Roman"/>
                <w:sz w:val="24"/>
                <w:szCs w:val="24"/>
              </w:rPr>
              <w:t xml:space="preserve"> (p=0,017), </w:t>
            </w:r>
            <w:proofErr w:type="spellStart"/>
            <w:r w:rsidRPr="0099415A">
              <w:rPr>
                <w:rFonts w:ascii="Times New Roman" w:eastAsia="Times" w:hAnsi="Times New Roman" w:cs="Times New Roman"/>
                <w:sz w:val="24"/>
                <w:szCs w:val="24"/>
              </w:rPr>
              <w:t>sikap</w:t>
            </w:r>
            <w:proofErr w:type="spellEnd"/>
            <w:r w:rsidRPr="0099415A">
              <w:rPr>
                <w:rFonts w:ascii="Times New Roman" w:eastAsia="Times" w:hAnsi="Times New Roman" w:cs="Times New Roman"/>
                <w:sz w:val="24"/>
                <w:szCs w:val="24"/>
              </w:rPr>
              <w:t xml:space="preserve"> (p=0,002), </w:t>
            </w:r>
            <w:proofErr w:type="spellStart"/>
            <w:r w:rsidRPr="0099415A">
              <w:rPr>
                <w:rFonts w:ascii="Times New Roman" w:eastAsia="Times" w:hAnsi="Times New Roman" w:cs="Times New Roman"/>
                <w:sz w:val="24"/>
                <w:szCs w:val="24"/>
              </w:rPr>
              <w:t>dukungan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petugas</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kesehatan</w:t>
            </w:r>
            <w:proofErr w:type="spellEnd"/>
            <w:r w:rsidRPr="0099415A">
              <w:rPr>
                <w:rFonts w:ascii="Times New Roman" w:eastAsia="Times" w:hAnsi="Times New Roman" w:cs="Times New Roman"/>
                <w:sz w:val="24"/>
                <w:szCs w:val="24"/>
              </w:rPr>
              <w:t xml:space="preserve"> (p=0,002), dan </w:t>
            </w:r>
            <w:proofErr w:type="spellStart"/>
            <w:r w:rsidRPr="0099415A">
              <w:rPr>
                <w:rFonts w:ascii="Times New Roman" w:eastAsia="Times" w:hAnsi="Times New Roman" w:cs="Times New Roman"/>
                <w:sz w:val="24"/>
                <w:szCs w:val="24"/>
              </w:rPr>
              <w:t>dukungan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keluarga</w:t>
            </w:r>
            <w:proofErr w:type="spellEnd"/>
            <w:r w:rsidRPr="0099415A">
              <w:rPr>
                <w:rFonts w:ascii="Times New Roman" w:eastAsia="Times" w:hAnsi="Times New Roman" w:cs="Times New Roman"/>
                <w:sz w:val="24"/>
                <w:szCs w:val="24"/>
              </w:rPr>
              <w:t xml:space="preserve"> (p=0,000) </w:t>
            </w:r>
            <w:proofErr w:type="spellStart"/>
            <w:r w:rsidRPr="0099415A">
              <w:rPr>
                <w:rFonts w:ascii="Times New Roman" w:eastAsia="Times" w:hAnsi="Times New Roman" w:cs="Times New Roman"/>
                <w:sz w:val="24"/>
                <w:szCs w:val="24"/>
              </w:rPr>
              <w:t>berhubungan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signifikan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dengan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keikutsertaan</w:t>
            </w:r>
            <w:proofErr w:type="spellEnd"/>
            <w:r w:rsidRPr="0099415A">
              <w:rPr>
                <w:rFonts w:ascii="Times New Roman" w:eastAsia="Times" w:hAnsi="Times New Roman" w:cs="Times New Roman"/>
                <w:sz w:val="24"/>
                <w:szCs w:val="24"/>
              </w:rPr>
              <w:t xml:space="preserve">. Faktor </w:t>
            </w:r>
            <w:proofErr w:type="spellStart"/>
            <w:r w:rsidRPr="0099415A">
              <w:rPr>
                <w:rFonts w:ascii="Times New Roman" w:eastAsia="Times" w:hAnsi="Times New Roman" w:cs="Times New Roman"/>
                <w:sz w:val="24"/>
                <w:szCs w:val="24"/>
              </w:rPr>
              <w:t>dominan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adalah</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sikap</w:t>
            </w:r>
            <w:proofErr w:type="spellEnd"/>
            <w:r w:rsidRPr="0099415A">
              <w:rPr>
                <w:rFonts w:ascii="Times New Roman" w:eastAsia="Times" w:hAnsi="Times New Roman" w:cs="Times New Roman"/>
                <w:sz w:val="24"/>
                <w:szCs w:val="24"/>
              </w:rPr>
              <w:t xml:space="preserve"> (OR=3,637) dan </w:t>
            </w:r>
            <w:proofErr w:type="spellStart"/>
            <w:r w:rsidRPr="0099415A">
              <w:rPr>
                <w:rFonts w:ascii="Times New Roman" w:eastAsia="Times" w:hAnsi="Times New Roman" w:cs="Times New Roman"/>
                <w:sz w:val="24"/>
                <w:szCs w:val="24"/>
              </w:rPr>
              <w:t>dukungan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keluarga</w:t>
            </w:r>
            <w:proofErr w:type="spellEnd"/>
            <w:r w:rsidRPr="0099415A">
              <w:rPr>
                <w:rFonts w:ascii="Times New Roman" w:eastAsia="Times" w:hAnsi="Times New Roman" w:cs="Times New Roman"/>
                <w:sz w:val="24"/>
                <w:szCs w:val="24"/>
              </w:rPr>
              <w:t xml:space="preserve"> (OR=5,197). </w:t>
            </w:r>
            <w:proofErr w:type="spellStart"/>
            <w:r w:rsidRPr="0099415A">
              <w:rPr>
                <w:rFonts w:ascii="Times New Roman" w:eastAsia="Times" w:hAnsi="Times New Roman" w:cs="Times New Roman"/>
                <w:sz w:val="24"/>
                <w:szCs w:val="24"/>
              </w:rPr>
              <w:t>Simpulan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penguatan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sikap</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positif</w:t>
            </w:r>
            <w:proofErr w:type="spellEnd"/>
            <w:r w:rsidRPr="0099415A">
              <w:rPr>
                <w:rFonts w:ascii="Times New Roman" w:eastAsia="Times" w:hAnsi="Times New Roman" w:cs="Times New Roman"/>
                <w:sz w:val="24"/>
                <w:szCs w:val="24"/>
              </w:rPr>
              <w:t xml:space="preserve"> dan </w:t>
            </w:r>
            <w:proofErr w:type="spellStart"/>
            <w:r w:rsidRPr="0099415A">
              <w:rPr>
                <w:rFonts w:ascii="Times New Roman" w:eastAsia="Times" w:hAnsi="Times New Roman" w:cs="Times New Roman"/>
                <w:sz w:val="24"/>
                <w:szCs w:val="24"/>
              </w:rPr>
              <w:t>dukungan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keluarga</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menjadi</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kunci</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peningkatan</w:t>
            </w:r>
            <w:proofErr w:type="spellEnd"/>
            <w:r w:rsidRPr="0099415A">
              <w:rPr>
                <w:rFonts w:ascii="Times New Roman" w:eastAsia="Times" w:hAnsi="Times New Roman" w:cs="Times New Roman"/>
                <w:sz w:val="24"/>
                <w:szCs w:val="24"/>
              </w:rPr>
              <w:t xml:space="preserve"> </w:t>
            </w:r>
            <w:proofErr w:type="spellStart"/>
            <w:r w:rsidRPr="0099415A">
              <w:rPr>
                <w:rFonts w:ascii="Times New Roman" w:eastAsia="Times" w:hAnsi="Times New Roman" w:cs="Times New Roman"/>
                <w:sz w:val="24"/>
                <w:szCs w:val="24"/>
              </w:rPr>
              <w:t>kepesertaan</w:t>
            </w:r>
            <w:proofErr w:type="spellEnd"/>
            <w:r w:rsidRPr="0099415A">
              <w:rPr>
                <w:rFonts w:ascii="Times New Roman" w:eastAsia="Times" w:hAnsi="Times New Roman" w:cs="Times New Roman"/>
                <w:sz w:val="24"/>
                <w:szCs w:val="24"/>
              </w:rPr>
              <w:t xml:space="preserve"> Non PBI. </w:t>
            </w:r>
            <w:r w:rsidRPr="0099415A">
              <w:rPr>
                <w:rFonts w:ascii="Times New Roman" w:eastAsia="Times" w:hAnsi="Times New Roman" w:cs="Times New Roman"/>
                <w:sz w:val="24"/>
                <w:szCs w:val="24"/>
                <w:lang w:val="fi-FI"/>
              </w:rPr>
              <w:t>Diperlukan intervensi berupa edukasi, kampanye kesehatan, serta pelibatan keluarga dalam sosialisasi BPJS Kesehatan.</w:t>
            </w:r>
          </w:p>
          <w:p w14:paraId="404C76D4" w14:textId="77777777" w:rsidR="0099415A" w:rsidRPr="0099415A" w:rsidRDefault="0099415A" w:rsidP="0099415A">
            <w:pPr>
              <w:spacing w:line="276" w:lineRule="auto"/>
              <w:jc w:val="both"/>
              <w:rPr>
                <w:rFonts w:ascii="Times New Roman" w:eastAsia="Times" w:hAnsi="Times New Roman" w:cs="Times New Roman"/>
                <w:sz w:val="24"/>
                <w:szCs w:val="24"/>
                <w:lang w:val="fi-FI"/>
              </w:rPr>
            </w:pPr>
          </w:p>
          <w:p w14:paraId="7D1D6AA5" w14:textId="4D1A295B" w:rsidR="0099415A" w:rsidRPr="0099415A" w:rsidRDefault="0099415A" w:rsidP="0099415A">
            <w:pPr>
              <w:spacing w:line="276" w:lineRule="auto"/>
              <w:jc w:val="both"/>
              <w:rPr>
                <w:rFonts w:ascii="Times New Roman" w:eastAsia="Times" w:hAnsi="Times New Roman" w:cs="Times New Roman"/>
                <w:b/>
                <w:bCs/>
                <w:sz w:val="24"/>
                <w:szCs w:val="24"/>
                <w:lang w:val="en-US"/>
              </w:rPr>
            </w:pPr>
            <w:r w:rsidRPr="0099415A">
              <w:rPr>
                <w:rFonts w:ascii="Times New Roman" w:eastAsia="Times" w:hAnsi="Times New Roman" w:cs="Times New Roman"/>
                <w:b/>
                <w:bCs/>
                <w:sz w:val="24"/>
                <w:szCs w:val="24"/>
                <w:lang w:val="en-US"/>
              </w:rPr>
              <w:t>Abstract</w:t>
            </w:r>
          </w:p>
          <w:p w14:paraId="1C2BC3B3" w14:textId="7D24855E" w:rsidR="00B25DF8" w:rsidRPr="00322F61" w:rsidRDefault="0099415A" w:rsidP="0099415A">
            <w:pPr>
              <w:spacing w:line="276" w:lineRule="auto"/>
              <w:jc w:val="both"/>
              <w:rPr>
                <w:rFonts w:ascii="Times New Roman" w:eastAsia="Times" w:hAnsi="Times New Roman" w:cs="Times New Roman"/>
                <w:sz w:val="24"/>
                <w:szCs w:val="24"/>
              </w:rPr>
            </w:pPr>
            <w:r w:rsidRPr="0099415A">
              <w:rPr>
                <w:rFonts w:ascii="Times New Roman" w:eastAsia="Times" w:hAnsi="Times New Roman" w:cs="Times New Roman"/>
                <w:sz w:val="24"/>
                <w:szCs w:val="24"/>
              </w:rPr>
              <w:t xml:space="preserve">Community participation in the Non-Contributory Beneficiary (Non-PBI) BPJS Health program in Central Halmahera remains low, falling short of Universal Health Coverage (UHC) targets. This study aimed to </w:t>
            </w:r>
            <w:proofErr w:type="spellStart"/>
            <w:r w:rsidRPr="0099415A">
              <w:rPr>
                <w:rFonts w:ascii="Times New Roman" w:eastAsia="Times" w:hAnsi="Times New Roman" w:cs="Times New Roman"/>
                <w:sz w:val="24"/>
                <w:szCs w:val="24"/>
              </w:rPr>
              <w:t>analyze</w:t>
            </w:r>
            <w:proofErr w:type="spellEnd"/>
            <w:r w:rsidRPr="0099415A">
              <w:rPr>
                <w:rFonts w:ascii="Times New Roman" w:eastAsia="Times" w:hAnsi="Times New Roman" w:cs="Times New Roman"/>
                <w:sz w:val="24"/>
                <w:szCs w:val="24"/>
              </w:rPr>
              <w:t xml:space="preserve"> predisposing, enabling, and reinforcing factors influencing participation. A cross-sectional design was applied with 248 respondents selected using cluster sampling. Data was collected using structured questionnaires and </w:t>
            </w:r>
            <w:proofErr w:type="spellStart"/>
            <w:r w:rsidRPr="0099415A">
              <w:rPr>
                <w:rFonts w:ascii="Times New Roman" w:eastAsia="Times" w:hAnsi="Times New Roman" w:cs="Times New Roman"/>
                <w:sz w:val="24"/>
                <w:szCs w:val="24"/>
              </w:rPr>
              <w:t>analyzed</w:t>
            </w:r>
            <w:proofErr w:type="spellEnd"/>
            <w:r w:rsidRPr="0099415A">
              <w:rPr>
                <w:rFonts w:ascii="Times New Roman" w:eastAsia="Times" w:hAnsi="Times New Roman" w:cs="Times New Roman"/>
                <w:sz w:val="24"/>
                <w:szCs w:val="24"/>
              </w:rPr>
              <w:t xml:space="preserve"> through Chi-square and logistic regression tests. Results revealed significant associations for knowledge (p=0.017), attitude (p=0.002), health worker support (p=0.002), and family support (p=0.000). The most dominant factors were attitude (OR=3.637) and family support (OR=5.197). Conclusion: Strengthening positive attitudes and enhancing family support are critical to </w:t>
            </w:r>
            <w:r w:rsidRPr="0099415A">
              <w:rPr>
                <w:rFonts w:ascii="Times New Roman" w:eastAsia="Times" w:hAnsi="Times New Roman" w:cs="Times New Roman"/>
                <w:sz w:val="24"/>
                <w:szCs w:val="24"/>
              </w:rPr>
              <w:lastRenderedPageBreak/>
              <w:t>increasing Non-PBI BPJS Health participation. Community education and family engagement in socialization programs are recommended</w:t>
            </w:r>
            <w:r>
              <w:rPr>
                <w:rFonts w:ascii="Times New Roman" w:eastAsia="Times" w:hAnsi="Times New Roman" w:cs="Times New Roman"/>
                <w:sz w:val="24"/>
                <w:szCs w:val="24"/>
              </w:rPr>
              <w:t>.</w:t>
            </w:r>
          </w:p>
        </w:tc>
      </w:tr>
    </w:tbl>
    <w:p w14:paraId="4378939E" w14:textId="77777777" w:rsidR="00B25DF8" w:rsidRPr="00322F61" w:rsidRDefault="00B100F4" w:rsidP="0099415A">
      <w:pPr>
        <w:spacing w:after="0" w:line="240" w:lineRule="auto"/>
        <w:jc w:val="right"/>
        <w:rPr>
          <w:rFonts w:ascii="Times New Roman" w:eastAsia="Georgia" w:hAnsi="Times New Roman" w:cs="Times New Roman"/>
        </w:rPr>
      </w:pPr>
      <w:r w:rsidRPr="00322F61">
        <w:rPr>
          <w:rFonts w:ascii="Times New Roman" w:eastAsia="Georgia" w:hAnsi="Times New Roman" w:cs="Times New Roman"/>
          <w:b/>
          <w:noProof/>
          <w:color w:val="0000FF"/>
        </w:rPr>
        <w:lastRenderedPageBreak/>
        <w:drawing>
          <wp:inline distT="0" distB="0" distL="0" distR="0" wp14:anchorId="7ED5BC69" wp14:editId="68AA0F9D">
            <wp:extent cx="838200" cy="295275"/>
            <wp:effectExtent l="0" t="0" r="0" b="0"/>
            <wp:docPr id="16" name="image4.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4.png" descr="https://jurnal.syntax-idea.co.id/public/site/images/idea/88x31.png"/>
                    <pic:cNvPicPr preferRelativeResize="0"/>
                  </pic:nvPicPr>
                  <pic:blipFill>
                    <a:blip r:embed="rId8"/>
                    <a:srcRect/>
                    <a:stretch>
                      <a:fillRect/>
                    </a:stretch>
                  </pic:blipFill>
                  <pic:spPr>
                    <a:xfrm>
                      <a:off x="0" y="0"/>
                      <a:ext cx="838200" cy="295275"/>
                    </a:xfrm>
                    <a:prstGeom prst="rect">
                      <a:avLst/>
                    </a:prstGeom>
                    <a:ln/>
                  </pic:spPr>
                </pic:pic>
              </a:graphicData>
            </a:graphic>
          </wp:inline>
        </w:drawing>
      </w:r>
    </w:p>
    <w:p w14:paraId="03C3EDDE" w14:textId="77777777" w:rsidR="00B25DF8" w:rsidRPr="00322F61" w:rsidRDefault="00B25DF8" w:rsidP="0099415A">
      <w:pPr>
        <w:spacing w:after="0" w:line="240" w:lineRule="auto"/>
        <w:rPr>
          <w:rFonts w:ascii="Times New Roman" w:eastAsia="Georgia" w:hAnsi="Times New Roman" w:cs="Times New Roman"/>
        </w:rPr>
      </w:pPr>
    </w:p>
    <w:p w14:paraId="0E890C7B" w14:textId="77777777" w:rsidR="00B25DF8" w:rsidRPr="00322F61" w:rsidRDefault="00B25DF8" w:rsidP="0099415A">
      <w:pPr>
        <w:spacing w:after="0" w:line="240" w:lineRule="auto"/>
        <w:jc w:val="both"/>
        <w:rPr>
          <w:rFonts w:ascii="Times New Roman" w:eastAsia="Georgia" w:hAnsi="Times New Roman" w:cs="Times New Roman"/>
          <w:b/>
        </w:rPr>
      </w:pPr>
    </w:p>
    <w:p w14:paraId="3AB09251" w14:textId="6732195B" w:rsidR="00B25DF8" w:rsidRDefault="006848D0" w:rsidP="0099415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14:paraId="0FA2D46F" w14:textId="166497DD" w:rsidR="0099415A" w:rsidRPr="0099415A" w:rsidRDefault="0099415A" w:rsidP="0099415A">
      <w:pPr>
        <w:spacing w:after="0" w:line="276" w:lineRule="auto"/>
        <w:jc w:val="both"/>
        <w:rPr>
          <w:rFonts w:ascii="Times New Roman" w:eastAsia="Times New Roman" w:hAnsi="Times New Roman" w:cs="Times New Roman"/>
          <w:sz w:val="24"/>
          <w:szCs w:val="24"/>
        </w:rPr>
      </w:pPr>
      <w:r w:rsidRPr="0099415A">
        <w:rPr>
          <w:rFonts w:ascii="Times New Roman" w:eastAsia="Times New Roman" w:hAnsi="Times New Roman" w:cs="Times New Roman"/>
          <w:sz w:val="24"/>
          <w:szCs w:val="24"/>
        </w:rPr>
        <w:t xml:space="preserve">Program </w:t>
      </w:r>
      <w:proofErr w:type="spellStart"/>
      <w:r w:rsidRPr="0099415A">
        <w:rPr>
          <w:rFonts w:ascii="Times New Roman" w:eastAsia="Times New Roman" w:hAnsi="Times New Roman" w:cs="Times New Roman"/>
          <w:sz w:val="24"/>
          <w:szCs w:val="24"/>
        </w:rPr>
        <w:t>Jaminan</w:t>
      </w:r>
      <w:proofErr w:type="spellEnd"/>
      <w:r w:rsidRPr="0099415A">
        <w:rPr>
          <w:rFonts w:ascii="Times New Roman" w:eastAsia="Times New Roman" w:hAnsi="Times New Roman" w:cs="Times New Roman"/>
          <w:sz w:val="24"/>
          <w:szCs w:val="24"/>
        </w:rPr>
        <w:t xml:space="preserve"> Kesehatan Nasional (JKN) </w:t>
      </w:r>
      <w:proofErr w:type="spellStart"/>
      <w:r w:rsidRPr="0099415A">
        <w:rPr>
          <w:rFonts w:ascii="Times New Roman" w:eastAsia="Times New Roman" w:hAnsi="Times New Roman" w:cs="Times New Roman"/>
          <w:sz w:val="24"/>
          <w:szCs w:val="24"/>
        </w:rPr>
        <w:t>ditujukan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untuk</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mencapai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cakupan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kesehatan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semesta</w:t>
      </w:r>
      <w:proofErr w:type="spellEnd"/>
      <w:r w:rsidRPr="0099415A">
        <w:rPr>
          <w:rFonts w:ascii="Times New Roman" w:eastAsia="Times New Roman" w:hAnsi="Times New Roman" w:cs="Times New Roman"/>
          <w:sz w:val="24"/>
          <w:szCs w:val="24"/>
        </w:rPr>
        <w:t xml:space="preserve"> (UHC</w:t>
      </w:r>
      <w:proofErr w:type="gramStart"/>
      <w:r w:rsidRPr="0099415A">
        <w:rPr>
          <w:rFonts w:ascii="Times New Roman" w:eastAsia="Times New Roman" w:hAnsi="Times New Roman" w:cs="Times New Roman"/>
          <w:sz w:val="24"/>
          <w:szCs w:val="24"/>
        </w:rPr>
        <w:t>).⁷</w:t>
      </w:r>
      <w:proofErr w:type="gramEnd"/>
      <w:r w:rsidRPr="0099415A">
        <w:rPr>
          <w:rFonts w:ascii="Times New Roman" w:eastAsia="Times New Roman" w:hAnsi="Times New Roman" w:cs="Times New Roman"/>
          <w:sz w:val="24"/>
          <w:szCs w:val="24"/>
        </w:rPr>
        <w:t xml:space="preserve"> Dalam </w:t>
      </w:r>
      <w:proofErr w:type="spellStart"/>
      <w:r w:rsidRPr="0099415A">
        <w:rPr>
          <w:rFonts w:ascii="Times New Roman" w:eastAsia="Times New Roman" w:hAnsi="Times New Roman" w:cs="Times New Roman"/>
          <w:sz w:val="24"/>
          <w:szCs w:val="24"/>
        </w:rPr>
        <w:t>kerangka</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perilaku</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kesehatan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teori</w:t>
      </w:r>
      <w:proofErr w:type="spellEnd"/>
      <w:r w:rsidRPr="0099415A">
        <w:rPr>
          <w:rFonts w:ascii="Times New Roman" w:eastAsia="Times New Roman" w:hAnsi="Times New Roman" w:cs="Times New Roman"/>
          <w:sz w:val="24"/>
          <w:szCs w:val="24"/>
        </w:rPr>
        <w:t xml:space="preserve"> Green </w:t>
      </w:r>
      <w:proofErr w:type="spellStart"/>
      <w:r w:rsidRPr="0099415A">
        <w:rPr>
          <w:rFonts w:ascii="Times New Roman" w:eastAsia="Times New Roman" w:hAnsi="Times New Roman" w:cs="Times New Roman"/>
          <w:sz w:val="24"/>
          <w:szCs w:val="24"/>
        </w:rPr>
        <w:t>menekankan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peran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faktor</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predisposisi</w:t>
      </w:r>
      <w:proofErr w:type="spellEnd"/>
      <w:r w:rsidRPr="0099415A">
        <w:rPr>
          <w:rFonts w:ascii="Times New Roman" w:eastAsia="Times New Roman" w:hAnsi="Times New Roman" w:cs="Times New Roman"/>
          <w:sz w:val="24"/>
          <w:szCs w:val="24"/>
        </w:rPr>
        <w:t xml:space="preserve"> (mis. </w:t>
      </w:r>
      <w:proofErr w:type="spellStart"/>
      <w:r w:rsidRPr="0099415A">
        <w:rPr>
          <w:rFonts w:ascii="Times New Roman" w:eastAsia="Times New Roman" w:hAnsi="Times New Roman" w:cs="Times New Roman"/>
          <w:sz w:val="24"/>
          <w:szCs w:val="24"/>
        </w:rPr>
        <w:t>pengetahuan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sikap</w:t>
      </w:r>
      <w:proofErr w:type="spellEnd"/>
      <w:r w:rsidRPr="0099415A">
        <w:rPr>
          <w:rFonts w:ascii="Times New Roman" w:eastAsia="Times New Roman" w:hAnsi="Times New Roman" w:cs="Times New Roman"/>
          <w:sz w:val="24"/>
          <w:szCs w:val="24"/>
        </w:rPr>
        <w:t>), enabling (</w:t>
      </w:r>
      <w:proofErr w:type="spellStart"/>
      <w:r w:rsidRPr="0099415A">
        <w:rPr>
          <w:rFonts w:ascii="Times New Roman" w:eastAsia="Times New Roman" w:hAnsi="Times New Roman" w:cs="Times New Roman"/>
          <w:sz w:val="24"/>
          <w:szCs w:val="24"/>
        </w:rPr>
        <w:t>akses</w:t>
      </w:r>
      <w:proofErr w:type="spellEnd"/>
      <w:r w:rsidRPr="0099415A">
        <w:rPr>
          <w:rFonts w:ascii="Times New Roman" w:eastAsia="Times New Roman" w:hAnsi="Times New Roman" w:cs="Times New Roman"/>
          <w:sz w:val="24"/>
          <w:szCs w:val="24"/>
        </w:rPr>
        <w:t>/</w:t>
      </w:r>
      <w:proofErr w:type="spellStart"/>
      <w:r w:rsidRPr="0099415A">
        <w:rPr>
          <w:rFonts w:ascii="Times New Roman" w:eastAsia="Times New Roman" w:hAnsi="Times New Roman" w:cs="Times New Roman"/>
          <w:sz w:val="24"/>
          <w:szCs w:val="24"/>
        </w:rPr>
        <w:t>layanan</w:t>
      </w:r>
      <w:proofErr w:type="spellEnd"/>
      <w:r w:rsidRPr="0099415A">
        <w:rPr>
          <w:rFonts w:ascii="Times New Roman" w:eastAsia="Times New Roman" w:hAnsi="Times New Roman" w:cs="Times New Roman"/>
          <w:sz w:val="24"/>
          <w:szCs w:val="24"/>
        </w:rPr>
        <w:t>), dan reinforcing (</w:t>
      </w:r>
      <w:proofErr w:type="spellStart"/>
      <w:r w:rsidRPr="0099415A">
        <w:rPr>
          <w:rFonts w:ascii="Times New Roman" w:eastAsia="Times New Roman" w:hAnsi="Times New Roman" w:cs="Times New Roman"/>
          <w:sz w:val="24"/>
          <w:szCs w:val="24"/>
        </w:rPr>
        <w:t>dukungan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sosial</w:t>
      </w:r>
      <w:proofErr w:type="spellEnd"/>
      <w:r w:rsidRPr="0099415A">
        <w:rPr>
          <w:rFonts w:ascii="Times New Roman" w:eastAsia="Times New Roman" w:hAnsi="Times New Roman" w:cs="Times New Roman"/>
          <w:sz w:val="24"/>
          <w:szCs w:val="24"/>
        </w:rPr>
        <w:t>/</w:t>
      </w:r>
      <w:proofErr w:type="spellStart"/>
      <w:r w:rsidRPr="0099415A">
        <w:rPr>
          <w:rFonts w:ascii="Times New Roman" w:eastAsia="Times New Roman" w:hAnsi="Times New Roman" w:cs="Times New Roman"/>
          <w:sz w:val="24"/>
          <w:szCs w:val="24"/>
        </w:rPr>
        <w:t>keluarga</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dalam</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membentuk</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perilaku</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pencarian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layanan</w:t>
      </w:r>
      <w:proofErr w:type="spellEnd"/>
      <w:r w:rsidRPr="0099415A">
        <w:rPr>
          <w:rFonts w:ascii="Times New Roman" w:eastAsia="Times New Roman" w:hAnsi="Times New Roman" w:cs="Times New Roman"/>
          <w:sz w:val="24"/>
          <w:szCs w:val="24"/>
        </w:rPr>
        <w:t xml:space="preserve"> </w:t>
      </w:r>
      <w:proofErr w:type="gramStart"/>
      <w:r w:rsidRPr="0099415A">
        <w:rPr>
          <w:rFonts w:ascii="Times New Roman" w:eastAsia="Times New Roman" w:hAnsi="Times New Roman" w:cs="Times New Roman"/>
          <w:sz w:val="24"/>
          <w:szCs w:val="24"/>
        </w:rPr>
        <w:t>kesehatan.¹</w:t>
      </w:r>
      <w:proofErr w:type="gramEnd"/>
      <w:r w:rsidRPr="0099415A">
        <w:rPr>
          <w:rFonts w:ascii="Times New Roman" w:eastAsia="Times New Roman" w:hAnsi="Times New Roman" w:cs="Times New Roman"/>
          <w:sz w:val="24"/>
          <w:szCs w:val="24"/>
        </w:rPr>
        <w:t xml:space="preserve">ʼ³ </w:t>
      </w:r>
      <w:proofErr w:type="spellStart"/>
      <w:r w:rsidRPr="0099415A">
        <w:rPr>
          <w:rFonts w:ascii="Times New Roman" w:eastAsia="Times New Roman" w:hAnsi="Times New Roman" w:cs="Times New Roman"/>
          <w:sz w:val="24"/>
          <w:szCs w:val="24"/>
        </w:rPr>
        <w:t>Sejumlah</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studi</w:t>
      </w:r>
      <w:proofErr w:type="spellEnd"/>
      <w:r w:rsidRPr="0099415A">
        <w:rPr>
          <w:rFonts w:ascii="Times New Roman" w:eastAsia="Times New Roman" w:hAnsi="Times New Roman" w:cs="Times New Roman"/>
          <w:sz w:val="24"/>
          <w:szCs w:val="24"/>
        </w:rPr>
        <w:t xml:space="preserve"> di Indonesia </w:t>
      </w:r>
      <w:proofErr w:type="spellStart"/>
      <w:r w:rsidRPr="0099415A">
        <w:rPr>
          <w:rFonts w:ascii="Times New Roman" w:eastAsia="Times New Roman" w:hAnsi="Times New Roman" w:cs="Times New Roman"/>
          <w:sz w:val="24"/>
          <w:szCs w:val="24"/>
        </w:rPr>
        <w:t>melaporkan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pengetahuan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sikap</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serta</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dukungan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keluarga</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berkorelasi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dengan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keikutsertaan</w:t>
      </w:r>
      <w:proofErr w:type="spellEnd"/>
      <w:r w:rsidRPr="0099415A">
        <w:rPr>
          <w:rFonts w:ascii="Times New Roman" w:eastAsia="Times New Roman" w:hAnsi="Times New Roman" w:cs="Times New Roman"/>
          <w:sz w:val="24"/>
          <w:szCs w:val="24"/>
        </w:rPr>
        <w:t xml:space="preserve"> JKN/Non </w:t>
      </w:r>
      <w:proofErr w:type="gramStart"/>
      <w:r w:rsidRPr="0099415A">
        <w:rPr>
          <w:rFonts w:ascii="Times New Roman" w:eastAsia="Times New Roman" w:hAnsi="Times New Roman" w:cs="Times New Roman"/>
          <w:sz w:val="24"/>
          <w:szCs w:val="24"/>
        </w:rPr>
        <w:t>PBI.²</w:t>
      </w:r>
      <w:proofErr w:type="gramEnd"/>
      <w:r w:rsidRPr="0099415A">
        <w:rPr>
          <w:rFonts w:ascii="Times New Roman" w:eastAsia="Times New Roman" w:hAnsi="Times New Roman" w:cs="Times New Roman"/>
          <w:sz w:val="24"/>
          <w:szCs w:val="24"/>
        </w:rPr>
        <w:t xml:space="preserve">ʼ⁴ʼ⁶ </w:t>
      </w:r>
      <w:proofErr w:type="spellStart"/>
      <w:r w:rsidRPr="0099415A">
        <w:rPr>
          <w:rFonts w:ascii="Times New Roman" w:eastAsia="Times New Roman" w:hAnsi="Times New Roman" w:cs="Times New Roman"/>
          <w:sz w:val="24"/>
          <w:szCs w:val="24"/>
        </w:rPr>
        <w:t>Penelitian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ini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menganalisis</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kontribusi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faktor-faktor</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tersebut</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terhadap</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keikutsertaan</w:t>
      </w:r>
      <w:proofErr w:type="spellEnd"/>
      <w:r w:rsidRPr="0099415A">
        <w:rPr>
          <w:rFonts w:ascii="Times New Roman" w:eastAsia="Times New Roman" w:hAnsi="Times New Roman" w:cs="Times New Roman"/>
          <w:sz w:val="24"/>
          <w:szCs w:val="24"/>
        </w:rPr>
        <w:t xml:space="preserve"> BPJS Kesehatan Non PBI di </w:t>
      </w:r>
      <w:proofErr w:type="spellStart"/>
      <w:r w:rsidRPr="0099415A">
        <w:rPr>
          <w:rFonts w:ascii="Times New Roman" w:eastAsia="Times New Roman" w:hAnsi="Times New Roman" w:cs="Times New Roman"/>
          <w:sz w:val="24"/>
          <w:szCs w:val="24"/>
        </w:rPr>
        <w:t>Kabupaten</w:t>
      </w:r>
      <w:proofErr w:type="spellEnd"/>
      <w:r w:rsidRPr="0099415A">
        <w:rPr>
          <w:rFonts w:ascii="Times New Roman" w:eastAsia="Times New Roman" w:hAnsi="Times New Roman" w:cs="Times New Roman"/>
          <w:sz w:val="24"/>
          <w:szCs w:val="24"/>
        </w:rPr>
        <w:t xml:space="preserve"> Halmahera Tengah.</w:t>
      </w:r>
    </w:p>
    <w:p w14:paraId="2F31EB5B" w14:textId="3FE15889" w:rsidR="006848D0" w:rsidRPr="0099415A" w:rsidRDefault="006848D0" w:rsidP="0099415A">
      <w:pPr>
        <w:spacing w:after="0" w:line="276" w:lineRule="auto"/>
        <w:jc w:val="both"/>
        <w:rPr>
          <w:rFonts w:ascii="Times New Roman" w:eastAsia="Times New Roman" w:hAnsi="Times New Roman" w:cs="Times New Roman"/>
          <w:sz w:val="24"/>
          <w:szCs w:val="24"/>
        </w:rPr>
      </w:pPr>
      <w:r w:rsidRPr="00322F61">
        <w:rPr>
          <w:rFonts w:ascii="Times New Roman" w:eastAsia="Times New Roman" w:hAnsi="Times New Roman" w:cs="Times New Roman"/>
          <w:sz w:val="24"/>
          <w:szCs w:val="24"/>
          <w:highlight w:val="yellow"/>
        </w:rPr>
        <w:t xml:space="preserve"> </w:t>
      </w:r>
    </w:p>
    <w:p w14:paraId="3CB9B608" w14:textId="77777777" w:rsidR="006848D0" w:rsidRDefault="00B100F4" w:rsidP="0099415A">
      <w:pPr>
        <w:spacing w:after="0" w:line="276" w:lineRule="auto"/>
        <w:jc w:val="both"/>
        <w:rPr>
          <w:rFonts w:ascii="Times New Roman" w:eastAsia="Times New Roman" w:hAnsi="Times New Roman" w:cs="Times New Roman"/>
          <w:b/>
          <w:sz w:val="24"/>
          <w:szCs w:val="24"/>
        </w:rPr>
      </w:pPr>
      <w:r w:rsidRPr="006848D0">
        <w:rPr>
          <w:rFonts w:ascii="Times New Roman" w:eastAsia="Times New Roman" w:hAnsi="Times New Roman" w:cs="Times New Roman"/>
          <w:b/>
          <w:sz w:val="24"/>
          <w:szCs w:val="24"/>
        </w:rPr>
        <w:t>RESEARCH METHODS</w:t>
      </w:r>
      <w:r w:rsidR="006848D0">
        <w:rPr>
          <w:rFonts w:ascii="Times New Roman" w:eastAsia="Times New Roman" w:hAnsi="Times New Roman" w:cs="Times New Roman"/>
          <w:b/>
          <w:sz w:val="24"/>
          <w:szCs w:val="24"/>
        </w:rPr>
        <w:t xml:space="preserve"> </w:t>
      </w:r>
    </w:p>
    <w:p w14:paraId="17DDB733" w14:textId="2FEFBCC3" w:rsidR="006848D0" w:rsidRDefault="0099415A" w:rsidP="0099415A">
      <w:pPr>
        <w:spacing w:after="0" w:line="276" w:lineRule="auto"/>
        <w:jc w:val="both"/>
        <w:rPr>
          <w:rFonts w:ascii="Times New Roman" w:eastAsia="Times New Roman" w:hAnsi="Times New Roman" w:cs="Times New Roman"/>
          <w:sz w:val="24"/>
          <w:szCs w:val="24"/>
        </w:rPr>
      </w:pPr>
      <w:r w:rsidRPr="0099415A">
        <w:rPr>
          <w:rFonts w:ascii="Times New Roman" w:eastAsia="Times New Roman" w:hAnsi="Times New Roman" w:cs="Times New Roman"/>
          <w:sz w:val="24"/>
          <w:szCs w:val="24"/>
        </w:rPr>
        <w:t xml:space="preserve">Desain </w:t>
      </w:r>
      <w:proofErr w:type="spellStart"/>
      <w:r w:rsidRPr="0099415A">
        <w:rPr>
          <w:rFonts w:ascii="Times New Roman" w:eastAsia="Times New Roman" w:hAnsi="Times New Roman" w:cs="Times New Roman"/>
          <w:sz w:val="24"/>
          <w:szCs w:val="24"/>
        </w:rPr>
        <w:t>penelitian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potong</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lintang</w:t>
      </w:r>
      <w:proofErr w:type="spellEnd"/>
      <w:r w:rsidRPr="0099415A">
        <w:rPr>
          <w:rFonts w:ascii="Times New Roman" w:eastAsia="Times New Roman" w:hAnsi="Times New Roman" w:cs="Times New Roman"/>
          <w:sz w:val="24"/>
          <w:szCs w:val="24"/>
        </w:rPr>
        <w:t xml:space="preserve"> (cross-sectional). </w:t>
      </w:r>
      <w:proofErr w:type="spellStart"/>
      <w:r w:rsidRPr="0099415A">
        <w:rPr>
          <w:rFonts w:ascii="Times New Roman" w:eastAsia="Times New Roman" w:hAnsi="Times New Roman" w:cs="Times New Roman"/>
          <w:sz w:val="24"/>
          <w:szCs w:val="24"/>
        </w:rPr>
        <w:t>Populasi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adalah</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masyarakat</w:t>
      </w:r>
      <w:proofErr w:type="spellEnd"/>
      <w:r w:rsidRPr="0099415A">
        <w:rPr>
          <w:rFonts w:ascii="Times New Roman" w:eastAsia="Times New Roman" w:hAnsi="Times New Roman" w:cs="Times New Roman"/>
          <w:sz w:val="24"/>
          <w:szCs w:val="24"/>
        </w:rPr>
        <w:t xml:space="preserve"> di wilayah </w:t>
      </w:r>
      <w:proofErr w:type="spellStart"/>
      <w:r w:rsidRPr="0099415A">
        <w:rPr>
          <w:rFonts w:ascii="Times New Roman" w:eastAsia="Times New Roman" w:hAnsi="Times New Roman" w:cs="Times New Roman"/>
          <w:sz w:val="24"/>
          <w:szCs w:val="24"/>
        </w:rPr>
        <w:t>kerja</w:t>
      </w:r>
      <w:proofErr w:type="spellEnd"/>
      <w:r w:rsidRPr="0099415A">
        <w:rPr>
          <w:rFonts w:ascii="Times New Roman" w:eastAsia="Times New Roman" w:hAnsi="Times New Roman" w:cs="Times New Roman"/>
          <w:sz w:val="24"/>
          <w:szCs w:val="24"/>
        </w:rPr>
        <w:t xml:space="preserve"> BPJS Kesehatan </w:t>
      </w:r>
      <w:proofErr w:type="spellStart"/>
      <w:r w:rsidRPr="0099415A">
        <w:rPr>
          <w:rFonts w:ascii="Times New Roman" w:eastAsia="Times New Roman" w:hAnsi="Times New Roman" w:cs="Times New Roman"/>
          <w:sz w:val="24"/>
          <w:szCs w:val="24"/>
        </w:rPr>
        <w:t>Kabupaten</w:t>
      </w:r>
      <w:proofErr w:type="spellEnd"/>
      <w:r w:rsidRPr="0099415A">
        <w:rPr>
          <w:rFonts w:ascii="Times New Roman" w:eastAsia="Times New Roman" w:hAnsi="Times New Roman" w:cs="Times New Roman"/>
          <w:sz w:val="24"/>
          <w:szCs w:val="24"/>
        </w:rPr>
        <w:t xml:space="preserve"> Halmahera Tengah. Sampel </w:t>
      </w:r>
      <w:proofErr w:type="spellStart"/>
      <w:r w:rsidRPr="0099415A">
        <w:rPr>
          <w:rFonts w:ascii="Times New Roman" w:eastAsia="Times New Roman" w:hAnsi="Times New Roman" w:cs="Times New Roman"/>
          <w:sz w:val="24"/>
          <w:szCs w:val="24"/>
        </w:rPr>
        <w:t>sebanyak</w:t>
      </w:r>
      <w:proofErr w:type="spellEnd"/>
      <w:r w:rsidRPr="0099415A">
        <w:rPr>
          <w:rFonts w:ascii="Times New Roman" w:eastAsia="Times New Roman" w:hAnsi="Times New Roman" w:cs="Times New Roman"/>
          <w:sz w:val="24"/>
          <w:szCs w:val="24"/>
        </w:rPr>
        <w:t xml:space="preserve"> 248 </w:t>
      </w:r>
      <w:proofErr w:type="spellStart"/>
      <w:r w:rsidRPr="0099415A">
        <w:rPr>
          <w:rFonts w:ascii="Times New Roman" w:eastAsia="Times New Roman" w:hAnsi="Times New Roman" w:cs="Times New Roman"/>
          <w:sz w:val="24"/>
          <w:szCs w:val="24"/>
        </w:rPr>
        <w:t>responden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dipilih</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dengan</w:t>
      </w:r>
      <w:proofErr w:type="spellEnd"/>
      <w:r w:rsidRPr="0099415A">
        <w:rPr>
          <w:rFonts w:ascii="Times New Roman" w:eastAsia="Times New Roman" w:hAnsi="Times New Roman" w:cs="Times New Roman"/>
          <w:sz w:val="24"/>
          <w:szCs w:val="24"/>
        </w:rPr>
        <w:t xml:space="preserve"> cluster sampling. </w:t>
      </w:r>
      <w:proofErr w:type="spellStart"/>
      <w:r w:rsidRPr="0099415A">
        <w:rPr>
          <w:rFonts w:ascii="Times New Roman" w:eastAsia="Times New Roman" w:hAnsi="Times New Roman" w:cs="Times New Roman"/>
          <w:sz w:val="24"/>
          <w:szCs w:val="24"/>
        </w:rPr>
        <w:t>Instrumen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menggunakan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kuesioner</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terstruktur</w:t>
      </w:r>
      <w:proofErr w:type="spellEnd"/>
      <w:r w:rsidRPr="0099415A">
        <w:rPr>
          <w:rFonts w:ascii="Times New Roman" w:eastAsia="Times New Roman" w:hAnsi="Times New Roman" w:cs="Times New Roman"/>
          <w:sz w:val="24"/>
          <w:szCs w:val="24"/>
        </w:rPr>
        <w:t xml:space="preserve"> yang </w:t>
      </w:r>
      <w:proofErr w:type="spellStart"/>
      <w:r w:rsidRPr="0099415A">
        <w:rPr>
          <w:rFonts w:ascii="Times New Roman" w:eastAsia="Times New Roman" w:hAnsi="Times New Roman" w:cs="Times New Roman"/>
          <w:sz w:val="24"/>
          <w:szCs w:val="24"/>
        </w:rPr>
        <w:t>telah</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diuji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validitas</w:t>
      </w:r>
      <w:proofErr w:type="spellEnd"/>
      <w:r w:rsidRPr="0099415A">
        <w:rPr>
          <w:rFonts w:ascii="Times New Roman" w:eastAsia="Times New Roman" w:hAnsi="Times New Roman" w:cs="Times New Roman"/>
          <w:sz w:val="24"/>
          <w:szCs w:val="24"/>
        </w:rPr>
        <w:t xml:space="preserve"> dan </w:t>
      </w:r>
      <w:proofErr w:type="spellStart"/>
      <w:r w:rsidRPr="0099415A">
        <w:rPr>
          <w:rFonts w:ascii="Times New Roman" w:eastAsia="Times New Roman" w:hAnsi="Times New Roman" w:cs="Times New Roman"/>
          <w:sz w:val="24"/>
          <w:szCs w:val="24"/>
        </w:rPr>
        <w:t>reliabilitas</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Analisis</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dilakukan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bertahap</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menggunakan</w:t>
      </w:r>
      <w:proofErr w:type="spellEnd"/>
      <w:r w:rsidRPr="0099415A">
        <w:rPr>
          <w:rFonts w:ascii="Times New Roman" w:eastAsia="Times New Roman" w:hAnsi="Times New Roman" w:cs="Times New Roman"/>
          <w:sz w:val="24"/>
          <w:szCs w:val="24"/>
        </w:rPr>
        <w:t xml:space="preserve"> uji Chi-square </w:t>
      </w:r>
      <w:proofErr w:type="spellStart"/>
      <w:r w:rsidRPr="0099415A">
        <w:rPr>
          <w:rFonts w:ascii="Times New Roman" w:eastAsia="Times New Roman" w:hAnsi="Times New Roman" w:cs="Times New Roman"/>
          <w:sz w:val="24"/>
          <w:szCs w:val="24"/>
        </w:rPr>
        <w:t>untuk</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hubungan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awal</w:t>
      </w:r>
      <w:proofErr w:type="spellEnd"/>
      <w:r w:rsidRPr="0099415A">
        <w:rPr>
          <w:rFonts w:ascii="Times New Roman" w:eastAsia="Times New Roman" w:hAnsi="Times New Roman" w:cs="Times New Roman"/>
          <w:sz w:val="24"/>
          <w:szCs w:val="24"/>
        </w:rPr>
        <w:t xml:space="preserve"> dan </w:t>
      </w:r>
      <w:proofErr w:type="spellStart"/>
      <w:r w:rsidRPr="0099415A">
        <w:rPr>
          <w:rFonts w:ascii="Times New Roman" w:eastAsia="Times New Roman" w:hAnsi="Times New Roman" w:cs="Times New Roman"/>
          <w:sz w:val="24"/>
          <w:szCs w:val="24"/>
        </w:rPr>
        <w:t>dilanjutkan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regresi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logistik</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ganda</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untuk</w:t>
      </w:r>
      <w:proofErr w:type="spellEnd"/>
      <w:r w:rsidRPr="0099415A">
        <w:rPr>
          <w:rFonts w:ascii="Times New Roman" w:eastAsia="Times New Roman" w:hAnsi="Times New Roman" w:cs="Times New Roman"/>
          <w:sz w:val="24"/>
          <w:szCs w:val="24"/>
        </w:rPr>
        <w:t xml:space="preserve"> model </w:t>
      </w:r>
      <w:proofErr w:type="spellStart"/>
      <w:r w:rsidRPr="0099415A">
        <w:rPr>
          <w:rFonts w:ascii="Times New Roman" w:eastAsia="Times New Roman" w:hAnsi="Times New Roman" w:cs="Times New Roman"/>
          <w:sz w:val="24"/>
          <w:szCs w:val="24"/>
        </w:rPr>
        <w:t>multivariat</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Aspek</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etika</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dipenuhi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melalui</w:t>
      </w:r>
      <w:proofErr w:type="spellEnd"/>
      <w:r w:rsidRPr="0099415A">
        <w:rPr>
          <w:rFonts w:ascii="Times New Roman" w:eastAsia="Times New Roman" w:hAnsi="Times New Roman" w:cs="Times New Roman"/>
          <w:sz w:val="24"/>
          <w:szCs w:val="24"/>
        </w:rPr>
        <w:t xml:space="preserve"> informed consent dan </w:t>
      </w:r>
      <w:proofErr w:type="spellStart"/>
      <w:r w:rsidRPr="0099415A">
        <w:rPr>
          <w:rFonts w:ascii="Times New Roman" w:eastAsia="Times New Roman" w:hAnsi="Times New Roman" w:cs="Times New Roman"/>
          <w:sz w:val="24"/>
          <w:szCs w:val="24"/>
        </w:rPr>
        <w:t>kerahasiaan</w:t>
      </w:r>
      <w:proofErr w:type="spellEnd"/>
      <w:r w:rsidRPr="0099415A">
        <w:rPr>
          <w:rFonts w:ascii="Times New Roman" w:eastAsia="Times New Roman" w:hAnsi="Times New Roman" w:cs="Times New Roman"/>
          <w:sz w:val="24"/>
          <w:szCs w:val="24"/>
        </w:rPr>
        <w:t xml:space="preserve"> data </w:t>
      </w:r>
      <w:proofErr w:type="spellStart"/>
      <w:r w:rsidRPr="0099415A">
        <w:rPr>
          <w:rFonts w:ascii="Times New Roman" w:eastAsia="Times New Roman" w:hAnsi="Times New Roman" w:cs="Times New Roman"/>
          <w:sz w:val="24"/>
          <w:szCs w:val="24"/>
        </w:rPr>
        <w:t>responden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dijaga</w:t>
      </w:r>
      <w:proofErr w:type="spellEnd"/>
      <w:r>
        <w:rPr>
          <w:rFonts w:ascii="Times New Roman" w:eastAsia="Times New Roman" w:hAnsi="Times New Roman" w:cs="Times New Roman"/>
          <w:sz w:val="24"/>
          <w:szCs w:val="24"/>
        </w:rPr>
        <w:t>.</w:t>
      </w:r>
    </w:p>
    <w:p w14:paraId="1A15861A" w14:textId="77777777" w:rsidR="0099415A" w:rsidRPr="0099415A" w:rsidRDefault="0099415A" w:rsidP="0099415A">
      <w:pPr>
        <w:spacing w:after="0" w:line="276" w:lineRule="auto"/>
        <w:jc w:val="both"/>
        <w:rPr>
          <w:rFonts w:ascii="Times New Roman" w:eastAsia="Times New Roman" w:hAnsi="Times New Roman" w:cs="Times New Roman"/>
          <w:bCs/>
          <w:sz w:val="24"/>
          <w:szCs w:val="24"/>
        </w:rPr>
      </w:pPr>
    </w:p>
    <w:p w14:paraId="03655CF5" w14:textId="3B892859" w:rsidR="00B25DF8" w:rsidRPr="00322F61" w:rsidRDefault="006848D0" w:rsidP="0099415A">
      <w:pPr>
        <w:spacing w:after="0" w:line="276"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HASIL DAN PEMBAHASAN</w:t>
      </w:r>
    </w:p>
    <w:p w14:paraId="4A653744" w14:textId="00616C70" w:rsidR="0099415A" w:rsidRPr="0099415A" w:rsidRDefault="0099415A" w:rsidP="0099415A">
      <w:pPr>
        <w:spacing w:after="0" w:line="276" w:lineRule="auto"/>
        <w:jc w:val="both"/>
        <w:rPr>
          <w:rFonts w:ascii="Times New Roman" w:eastAsia="Times New Roman" w:hAnsi="Times New Roman" w:cs="Times New Roman"/>
          <w:sz w:val="24"/>
          <w:szCs w:val="24"/>
        </w:rPr>
      </w:pPr>
      <w:proofErr w:type="spellStart"/>
      <w:r w:rsidRPr="0099415A">
        <w:rPr>
          <w:rFonts w:ascii="Times New Roman" w:eastAsia="Times New Roman" w:hAnsi="Times New Roman" w:cs="Times New Roman"/>
          <w:sz w:val="24"/>
          <w:szCs w:val="24"/>
        </w:rPr>
        <w:t>Karakteristik</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utama</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responden</w:t>
      </w:r>
      <w:proofErr w:type="spellEnd"/>
      <w:r w:rsidRPr="0099415A">
        <w:rPr>
          <w:rFonts w:ascii="Times New Roman" w:eastAsia="Times New Roman" w:hAnsi="Times New Roman" w:cs="Times New Roman"/>
          <w:sz w:val="24"/>
          <w:szCs w:val="24"/>
        </w:rPr>
        <w:t xml:space="preserve"> dan </w:t>
      </w:r>
      <w:proofErr w:type="spellStart"/>
      <w:r w:rsidRPr="0099415A">
        <w:rPr>
          <w:rFonts w:ascii="Times New Roman" w:eastAsia="Times New Roman" w:hAnsi="Times New Roman" w:cs="Times New Roman"/>
          <w:sz w:val="24"/>
          <w:szCs w:val="24"/>
        </w:rPr>
        <w:t>hasil</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analisis</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disajikan</w:t>
      </w:r>
      <w:proofErr w:type="spellEnd"/>
      <w:r w:rsidRPr="0099415A">
        <w:rPr>
          <w:rFonts w:ascii="Times New Roman" w:eastAsia="Times New Roman" w:hAnsi="Times New Roman" w:cs="Times New Roman"/>
          <w:sz w:val="24"/>
          <w:szCs w:val="24"/>
        </w:rPr>
        <w:t xml:space="preserve"> pada Tabel 1–3. </w:t>
      </w:r>
      <w:proofErr w:type="spellStart"/>
      <w:r w:rsidRPr="0099415A">
        <w:rPr>
          <w:rFonts w:ascii="Times New Roman" w:eastAsia="Times New Roman" w:hAnsi="Times New Roman" w:cs="Times New Roman"/>
          <w:sz w:val="24"/>
          <w:szCs w:val="24"/>
        </w:rPr>
        <w:t>Ringkasan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memakai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angka</w:t>
      </w:r>
      <w:proofErr w:type="spellEnd"/>
      <w:r w:rsidRPr="0099415A">
        <w:rPr>
          <w:rFonts w:ascii="Times New Roman" w:eastAsia="Times New Roman" w:hAnsi="Times New Roman" w:cs="Times New Roman"/>
          <w:sz w:val="24"/>
          <w:szCs w:val="24"/>
        </w:rPr>
        <w:t xml:space="preserve"> yang </w:t>
      </w:r>
      <w:proofErr w:type="spellStart"/>
      <w:r w:rsidRPr="0099415A">
        <w:rPr>
          <w:rFonts w:ascii="Times New Roman" w:eastAsia="Times New Roman" w:hAnsi="Times New Roman" w:cs="Times New Roman"/>
          <w:sz w:val="24"/>
          <w:szCs w:val="24"/>
        </w:rPr>
        <w:t>konsisten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dengan</w:t>
      </w:r>
      <w:proofErr w:type="spellEnd"/>
      <w:r w:rsidRPr="0099415A">
        <w:rPr>
          <w:rFonts w:ascii="Times New Roman" w:eastAsia="Times New Roman" w:hAnsi="Times New Roman" w:cs="Times New Roman"/>
          <w:sz w:val="24"/>
          <w:szCs w:val="24"/>
        </w:rPr>
        <w:t xml:space="preserve"> dataset dan model </w:t>
      </w:r>
      <w:proofErr w:type="spellStart"/>
      <w:r w:rsidRPr="0099415A">
        <w:rPr>
          <w:rFonts w:ascii="Times New Roman" w:eastAsia="Times New Roman" w:hAnsi="Times New Roman" w:cs="Times New Roman"/>
          <w:sz w:val="24"/>
          <w:szCs w:val="24"/>
        </w:rPr>
        <w:t>akhir</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multivariat</w:t>
      </w:r>
      <w:proofErr w:type="spellEnd"/>
      <w:r w:rsidRPr="009941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Mayoritas</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responden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berpendidikan</w:t>
      </w:r>
      <w:proofErr w:type="spellEnd"/>
      <w:r w:rsidRPr="0099415A">
        <w:rPr>
          <w:rFonts w:ascii="Times New Roman" w:eastAsia="Times New Roman" w:hAnsi="Times New Roman" w:cs="Times New Roman"/>
          <w:sz w:val="24"/>
          <w:szCs w:val="24"/>
        </w:rPr>
        <w:t xml:space="preserve"> ≤SMA (65,3%), </w:t>
      </w:r>
      <w:proofErr w:type="spellStart"/>
      <w:r w:rsidRPr="0099415A">
        <w:rPr>
          <w:rFonts w:ascii="Times New Roman" w:eastAsia="Times New Roman" w:hAnsi="Times New Roman" w:cs="Times New Roman"/>
          <w:sz w:val="24"/>
          <w:szCs w:val="24"/>
        </w:rPr>
        <w:t>dengan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proporsi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pengetahuan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rendah</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lebih</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besar</w:t>
      </w:r>
      <w:proofErr w:type="spellEnd"/>
      <w:r w:rsidRPr="0099415A">
        <w:rPr>
          <w:rFonts w:ascii="Times New Roman" w:eastAsia="Times New Roman" w:hAnsi="Times New Roman" w:cs="Times New Roman"/>
          <w:sz w:val="24"/>
          <w:szCs w:val="24"/>
        </w:rPr>
        <w:t xml:space="preserve"> (56,0%) </w:t>
      </w:r>
      <w:proofErr w:type="spellStart"/>
      <w:r w:rsidRPr="0099415A">
        <w:rPr>
          <w:rFonts w:ascii="Times New Roman" w:eastAsia="Times New Roman" w:hAnsi="Times New Roman" w:cs="Times New Roman"/>
          <w:sz w:val="24"/>
          <w:szCs w:val="24"/>
        </w:rPr>
        <w:t>dibanding</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tinggi</w:t>
      </w:r>
      <w:proofErr w:type="spellEnd"/>
      <w:r w:rsidRPr="0099415A">
        <w:rPr>
          <w:rFonts w:ascii="Times New Roman" w:eastAsia="Times New Roman" w:hAnsi="Times New Roman" w:cs="Times New Roman"/>
          <w:sz w:val="24"/>
          <w:szCs w:val="24"/>
        </w:rPr>
        <w:t xml:space="preserve"> (44,0%). </w:t>
      </w:r>
      <w:r w:rsidRPr="0099415A">
        <w:rPr>
          <w:rFonts w:ascii="Times New Roman" w:eastAsia="Times New Roman" w:hAnsi="Times New Roman" w:cs="Times New Roman"/>
          <w:sz w:val="24"/>
          <w:szCs w:val="24"/>
          <w:lang w:val="fi-FI"/>
        </w:rPr>
        <w:t>Dari sisi sikap, lebih dari separuh menunjukkan sikap negatif (54,4%), sementara sikap positif tercatat 45,6%.</w:t>
      </w:r>
    </w:p>
    <w:p w14:paraId="32A08944" w14:textId="2805FDAD" w:rsidR="00B25DF8" w:rsidRPr="00322F61" w:rsidRDefault="0099415A" w:rsidP="0099415A">
      <w:pPr>
        <w:spacing w:after="0" w:line="276" w:lineRule="auto"/>
        <w:jc w:val="both"/>
        <w:rPr>
          <w:rFonts w:ascii="Times New Roman" w:eastAsia="Times New Roman" w:hAnsi="Times New Roman" w:cs="Times New Roman"/>
          <w:sz w:val="24"/>
          <w:szCs w:val="24"/>
          <w:highlight w:val="yellow"/>
        </w:rPr>
      </w:pPr>
      <w:r w:rsidRPr="0099415A">
        <w:rPr>
          <w:rFonts w:ascii="Times New Roman" w:eastAsia="Times New Roman" w:hAnsi="Times New Roman" w:cs="Times New Roman"/>
          <w:sz w:val="24"/>
          <w:szCs w:val="24"/>
        </w:rPr>
        <w:t xml:space="preserve">Tabel 1. </w:t>
      </w:r>
      <w:proofErr w:type="spellStart"/>
      <w:r w:rsidRPr="0099415A">
        <w:rPr>
          <w:rFonts w:ascii="Times New Roman" w:eastAsia="Times New Roman" w:hAnsi="Times New Roman" w:cs="Times New Roman"/>
          <w:sz w:val="24"/>
          <w:szCs w:val="24"/>
        </w:rPr>
        <w:t>Distribusi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Karakteristik</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Responden</w:t>
      </w:r>
      <w:proofErr w:type="spellEnd"/>
      <w:r w:rsidRPr="0099415A">
        <w:rPr>
          <w:rFonts w:ascii="Times New Roman" w:eastAsia="Times New Roman" w:hAnsi="Times New Roman" w:cs="Times New Roman"/>
          <w:sz w:val="24"/>
          <w:szCs w:val="24"/>
        </w:rPr>
        <w:t xml:space="preserve"> (n=248)</w:t>
      </w:r>
    </w:p>
    <w:tbl>
      <w:tblPr>
        <w:tblStyle w:val="PlainTable2"/>
        <w:tblW w:w="0" w:type="auto"/>
        <w:tblLook w:val="04A0" w:firstRow="1" w:lastRow="0" w:firstColumn="1" w:lastColumn="0" w:noHBand="0" w:noVBand="1"/>
      </w:tblPr>
      <w:tblGrid>
        <w:gridCol w:w="2160"/>
        <w:gridCol w:w="2160"/>
        <w:gridCol w:w="2160"/>
        <w:gridCol w:w="2160"/>
      </w:tblGrid>
      <w:tr w:rsidR="0099415A" w:rsidRPr="00892DEE" w14:paraId="394FE0C8" w14:textId="77777777" w:rsidTr="004E0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B212350" w14:textId="77777777" w:rsidR="0099415A" w:rsidRPr="00892DEE" w:rsidRDefault="0099415A" w:rsidP="0099415A">
            <w:proofErr w:type="spellStart"/>
            <w:r w:rsidRPr="00892DEE">
              <w:t>Variabel</w:t>
            </w:r>
            <w:proofErr w:type="spellEnd"/>
          </w:p>
        </w:tc>
        <w:tc>
          <w:tcPr>
            <w:tcW w:w="2160" w:type="dxa"/>
          </w:tcPr>
          <w:p w14:paraId="515484E9" w14:textId="77777777" w:rsidR="0099415A" w:rsidRPr="00892DEE" w:rsidRDefault="0099415A" w:rsidP="0099415A">
            <w:pPr>
              <w:cnfStyle w:val="100000000000" w:firstRow="1" w:lastRow="0" w:firstColumn="0" w:lastColumn="0" w:oddVBand="0" w:evenVBand="0" w:oddHBand="0" w:evenHBand="0" w:firstRowFirstColumn="0" w:firstRowLastColumn="0" w:lastRowFirstColumn="0" w:lastRowLastColumn="0"/>
            </w:pPr>
            <w:proofErr w:type="spellStart"/>
            <w:r w:rsidRPr="00892DEE">
              <w:t>Kategori</w:t>
            </w:r>
            <w:proofErr w:type="spellEnd"/>
          </w:p>
        </w:tc>
        <w:tc>
          <w:tcPr>
            <w:tcW w:w="2160" w:type="dxa"/>
          </w:tcPr>
          <w:p w14:paraId="327BB81C" w14:textId="77777777" w:rsidR="0099415A" w:rsidRPr="00892DEE" w:rsidRDefault="0099415A" w:rsidP="0099415A">
            <w:pPr>
              <w:cnfStyle w:val="100000000000" w:firstRow="1" w:lastRow="0" w:firstColumn="0" w:lastColumn="0" w:oddVBand="0" w:evenVBand="0" w:oddHBand="0" w:evenHBand="0" w:firstRowFirstColumn="0" w:firstRowLastColumn="0" w:lastRowFirstColumn="0" w:lastRowLastColumn="0"/>
            </w:pPr>
            <w:r w:rsidRPr="00892DEE">
              <w:t>n</w:t>
            </w:r>
          </w:p>
        </w:tc>
        <w:tc>
          <w:tcPr>
            <w:tcW w:w="2160" w:type="dxa"/>
          </w:tcPr>
          <w:p w14:paraId="4F52DF5D" w14:textId="77777777" w:rsidR="0099415A" w:rsidRPr="00892DEE" w:rsidRDefault="0099415A" w:rsidP="0099415A">
            <w:pPr>
              <w:cnfStyle w:val="100000000000" w:firstRow="1" w:lastRow="0" w:firstColumn="0" w:lastColumn="0" w:oddVBand="0" w:evenVBand="0" w:oddHBand="0" w:evenHBand="0" w:firstRowFirstColumn="0" w:firstRowLastColumn="0" w:lastRowFirstColumn="0" w:lastRowLastColumn="0"/>
            </w:pPr>
            <w:r w:rsidRPr="00892DEE">
              <w:t>%</w:t>
            </w:r>
          </w:p>
        </w:tc>
      </w:tr>
      <w:tr w:rsidR="0099415A" w:rsidRPr="00892DEE" w14:paraId="4EB912E8" w14:textId="77777777" w:rsidTr="004E0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86F2502" w14:textId="77777777" w:rsidR="0099415A" w:rsidRPr="00892DEE" w:rsidRDefault="0099415A" w:rsidP="0099415A">
            <w:r w:rsidRPr="00892DEE">
              <w:t>Pendidikan</w:t>
            </w:r>
          </w:p>
        </w:tc>
        <w:tc>
          <w:tcPr>
            <w:tcW w:w="2160" w:type="dxa"/>
          </w:tcPr>
          <w:p w14:paraId="6AEB9B16"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pPr>
            <w:r w:rsidRPr="00892DEE">
              <w:t>≤ SMA</w:t>
            </w:r>
          </w:p>
        </w:tc>
        <w:tc>
          <w:tcPr>
            <w:tcW w:w="2160" w:type="dxa"/>
          </w:tcPr>
          <w:p w14:paraId="6BA98144"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pPr>
            <w:r w:rsidRPr="00892DEE">
              <w:t>162</w:t>
            </w:r>
          </w:p>
        </w:tc>
        <w:tc>
          <w:tcPr>
            <w:tcW w:w="2160" w:type="dxa"/>
          </w:tcPr>
          <w:p w14:paraId="60D10BA8"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pPr>
            <w:r w:rsidRPr="00892DEE">
              <w:t>65,3</w:t>
            </w:r>
          </w:p>
        </w:tc>
      </w:tr>
      <w:tr w:rsidR="0099415A" w:rsidRPr="00892DEE" w14:paraId="710F61FD" w14:textId="77777777" w:rsidTr="004E0382">
        <w:tc>
          <w:tcPr>
            <w:cnfStyle w:val="001000000000" w:firstRow="0" w:lastRow="0" w:firstColumn="1" w:lastColumn="0" w:oddVBand="0" w:evenVBand="0" w:oddHBand="0" w:evenHBand="0" w:firstRowFirstColumn="0" w:firstRowLastColumn="0" w:lastRowFirstColumn="0" w:lastRowLastColumn="0"/>
            <w:tcW w:w="2160" w:type="dxa"/>
          </w:tcPr>
          <w:p w14:paraId="2D17372F" w14:textId="77777777" w:rsidR="0099415A" w:rsidRPr="00892DEE" w:rsidRDefault="0099415A" w:rsidP="0099415A">
            <w:r w:rsidRPr="00892DEE">
              <w:t>Pendidikan</w:t>
            </w:r>
          </w:p>
        </w:tc>
        <w:tc>
          <w:tcPr>
            <w:tcW w:w="2160" w:type="dxa"/>
          </w:tcPr>
          <w:p w14:paraId="6EACC4F0"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pPr>
            <w:r w:rsidRPr="00892DEE">
              <w:t>&gt; SMA</w:t>
            </w:r>
          </w:p>
        </w:tc>
        <w:tc>
          <w:tcPr>
            <w:tcW w:w="2160" w:type="dxa"/>
          </w:tcPr>
          <w:p w14:paraId="750C143C"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pPr>
            <w:r w:rsidRPr="00892DEE">
              <w:t>86</w:t>
            </w:r>
          </w:p>
        </w:tc>
        <w:tc>
          <w:tcPr>
            <w:tcW w:w="2160" w:type="dxa"/>
          </w:tcPr>
          <w:p w14:paraId="6B71351C"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pPr>
            <w:r w:rsidRPr="00892DEE">
              <w:t>34,7</w:t>
            </w:r>
          </w:p>
        </w:tc>
      </w:tr>
      <w:tr w:rsidR="0099415A" w:rsidRPr="00892DEE" w14:paraId="082B340D" w14:textId="77777777" w:rsidTr="004E0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62F199F" w14:textId="77777777" w:rsidR="0099415A" w:rsidRPr="00892DEE" w:rsidRDefault="0099415A" w:rsidP="0099415A">
            <w:proofErr w:type="spellStart"/>
            <w:r w:rsidRPr="00892DEE">
              <w:t>Pengetahuan</w:t>
            </w:r>
            <w:proofErr w:type="spellEnd"/>
          </w:p>
        </w:tc>
        <w:tc>
          <w:tcPr>
            <w:tcW w:w="2160" w:type="dxa"/>
          </w:tcPr>
          <w:p w14:paraId="07F6EC90"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pPr>
            <w:proofErr w:type="spellStart"/>
            <w:r w:rsidRPr="00892DEE">
              <w:t>Rendah</w:t>
            </w:r>
            <w:proofErr w:type="spellEnd"/>
          </w:p>
        </w:tc>
        <w:tc>
          <w:tcPr>
            <w:tcW w:w="2160" w:type="dxa"/>
          </w:tcPr>
          <w:p w14:paraId="26DE1745"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pPr>
            <w:r w:rsidRPr="00892DEE">
              <w:t>139</w:t>
            </w:r>
          </w:p>
        </w:tc>
        <w:tc>
          <w:tcPr>
            <w:tcW w:w="2160" w:type="dxa"/>
          </w:tcPr>
          <w:p w14:paraId="312F8C6E"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pPr>
            <w:r w:rsidRPr="00892DEE">
              <w:t>56,0</w:t>
            </w:r>
          </w:p>
        </w:tc>
      </w:tr>
      <w:tr w:rsidR="0099415A" w:rsidRPr="00892DEE" w14:paraId="7683DCDF" w14:textId="77777777" w:rsidTr="004E0382">
        <w:tc>
          <w:tcPr>
            <w:cnfStyle w:val="001000000000" w:firstRow="0" w:lastRow="0" w:firstColumn="1" w:lastColumn="0" w:oddVBand="0" w:evenVBand="0" w:oddHBand="0" w:evenHBand="0" w:firstRowFirstColumn="0" w:firstRowLastColumn="0" w:lastRowFirstColumn="0" w:lastRowLastColumn="0"/>
            <w:tcW w:w="2160" w:type="dxa"/>
          </w:tcPr>
          <w:p w14:paraId="7C789343" w14:textId="77777777" w:rsidR="0099415A" w:rsidRPr="00892DEE" w:rsidRDefault="0099415A" w:rsidP="0099415A">
            <w:proofErr w:type="spellStart"/>
            <w:r w:rsidRPr="00892DEE">
              <w:t>Pengetahuan</w:t>
            </w:r>
            <w:proofErr w:type="spellEnd"/>
          </w:p>
        </w:tc>
        <w:tc>
          <w:tcPr>
            <w:tcW w:w="2160" w:type="dxa"/>
          </w:tcPr>
          <w:p w14:paraId="38B6688D"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pPr>
            <w:r w:rsidRPr="00892DEE">
              <w:t>Tinggi</w:t>
            </w:r>
          </w:p>
        </w:tc>
        <w:tc>
          <w:tcPr>
            <w:tcW w:w="2160" w:type="dxa"/>
          </w:tcPr>
          <w:p w14:paraId="48D5C2C3"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pPr>
            <w:r w:rsidRPr="00892DEE">
              <w:t>109</w:t>
            </w:r>
          </w:p>
        </w:tc>
        <w:tc>
          <w:tcPr>
            <w:tcW w:w="2160" w:type="dxa"/>
          </w:tcPr>
          <w:p w14:paraId="4B9D8F00"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pPr>
            <w:r w:rsidRPr="00892DEE">
              <w:t>44,0</w:t>
            </w:r>
          </w:p>
        </w:tc>
      </w:tr>
      <w:tr w:rsidR="0099415A" w:rsidRPr="00892DEE" w14:paraId="366C6A07" w14:textId="77777777" w:rsidTr="004E0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BBD4A1A" w14:textId="77777777" w:rsidR="0099415A" w:rsidRPr="00892DEE" w:rsidRDefault="0099415A" w:rsidP="0099415A">
            <w:proofErr w:type="spellStart"/>
            <w:r w:rsidRPr="00892DEE">
              <w:t>Sikap</w:t>
            </w:r>
            <w:proofErr w:type="spellEnd"/>
          </w:p>
        </w:tc>
        <w:tc>
          <w:tcPr>
            <w:tcW w:w="2160" w:type="dxa"/>
          </w:tcPr>
          <w:p w14:paraId="67D0A148"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pPr>
            <w:proofErr w:type="spellStart"/>
            <w:r w:rsidRPr="00892DEE">
              <w:t>Negatif</w:t>
            </w:r>
            <w:proofErr w:type="spellEnd"/>
          </w:p>
        </w:tc>
        <w:tc>
          <w:tcPr>
            <w:tcW w:w="2160" w:type="dxa"/>
          </w:tcPr>
          <w:p w14:paraId="49C83F31"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pPr>
            <w:r w:rsidRPr="00892DEE">
              <w:t>135</w:t>
            </w:r>
          </w:p>
        </w:tc>
        <w:tc>
          <w:tcPr>
            <w:tcW w:w="2160" w:type="dxa"/>
          </w:tcPr>
          <w:p w14:paraId="222D1431"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pPr>
            <w:r w:rsidRPr="00892DEE">
              <w:t>54,4</w:t>
            </w:r>
          </w:p>
        </w:tc>
      </w:tr>
      <w:tr w:rsidR="0099415A" w:rsidRPr="00892DEE" w14:paraId="06439F1F" w14:textId="77777777" w:rsidTr="004E0382">
        <w:tc>
          <w:tcPr>
            <w:cnfStyle w:val="001000000000" w:firstRow="0" w:lastRow="0" w:firstColumn="1" w:lastColumn="0" w:oddVBand="0" w:evenVBand="0" w:oddHBand="0" w:evenHBand="0" w:firstRowFirstColumn="0" w:firstRowLastColumn="0" w:lastRowFirstColumn="0" w:lastRowLastColumn="0"/>
            <w:tcW w:w="2160" w:type="dxa"/>
          </w:tcPr>
          <w:p w14:paraId="782C5A4B" w14:textId="77777777" w:rsidR="0099415A" w:rsidRPr="00892DEE" w:rsidRDefault="0099415A" w:rsidP="0099415A">
            <w:proofErr w:type="spellStart"/>
            <w:r w:rsidRPr="00892DEE">
              <w:t>Sikap</w:t>
            </w:r>
            <w:proofErr w:type="spellEnd"/>
          </w:p>
        </w:tc>
        <w:tc>
          <w:tcPr>
            <w:tcW w:w="2160" w:type="dxa"/>
          </w:tcPr>
          <w:p w14:paraId="5890E196"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pPr>
            <w:proofErr w:type="spellStart"/>
            <w:r w:rsidRPr="00892DEE">
              <w:t>Positif</w:t>
            </w:r>
            <w:proofErr w:type="spellEnd"/>
          </w:p>
        </w:tc>
        <w:tc>
          <w:tcPr>
            <w:tcW w:w="2160" w:type="dxa"/>
          </w:tcPr>
          <w:p w14:paraId="492B1886"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pPr>
            <w:r w:rsidRPr="00892DEE">
              <w:t>113</w:t>
            </w:r>
          </w:p>
        </w:tc>
        <w:tc>
          <w:tcPr>
            <w:tcW w:w="2160" w:type="dxa"/>
          </w:tcPr>
          <w:p w14:paraId="1558AF23"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pPr>
            <w:r w:rsidRPr="00892DEE">
              <w:t>45,6</w:t>
            </w:r>
          </w:p>
        </w:tc>
      </w:tr>
    </w:tbl>
    <w:p w14:paraId="1A32DC9D" w14:textId="2FC9E357" w:rsidR="00B25DF8" w:rsidRDefault="00B25DF8" w:rsidP="0099415A">
      <w:pPr>
        <w:spacing w:after="0" w:line="276" w:lineRule="auto"/>
        <w:jc w:val="both"/>
        <w:rPr>
          <w:rFonts w:ascii="Times New Roman" w:eastAsia="Times New Roman" w:hAnsi="Times New Roman" w:cs="Times New Roman"/>
          <w:sz w:val="24"/>
          <w:szCs w:val="24"/>
          <w:lang w:val="en-US"/>
        </w:rPr>
      </w:pPr>
    </w:p>
    <w:p w14:paraId="194CBCBC" w14:textId="77777777" w:rsidR="0099415A" w:rsidRPr="0099415A" w:rsidRDefault="0099415A" w:rsidP="0099415A">
      <w:pPr>
        <w:spacing w:after="0" w:line="276" w:lineRule="auto"/>
        <w:jc w:val="both"/>
        <w:rPr>
          <w:rFonts w:ascii="Times New Roman" w:eastAsia="Times New Roman" w:hAnsi="Times New Roman" w:cs="Times New Roman"/>
          <w:sz w:val="24"/>
          <w:szCs w:val="24"/>
          <w:lang w:val="en-US"/>
        </w:rPr>
      </w:pPr>
      <w:r w:rsidRPr="0099415A">
        <w:rPr>
          <w:rFonts w:ascii="Times New Roman" w:eastAsia="Times New Roman" w:hAnsi="Times New Roman" w:cs="Times New Roman"/>
          <w:sz w:val="24"/>
          <w:szCs w:val="24"/>
          <w:lang w:val="en-US"/>
        </w:rPr>
        <w:t xml:space="preserve">Uji </w:t>
      </w:r>
      <w:proofErr w:type="spellStart"/>
      <w:r w:rsidRPr="0099415A">
        <w:rPr>
          <w:rFonts w:ascii="Times New Roman" w:eastAsia="Times New Roman" w:hAnsi="Times New Roman" w:cs="Times New Roman"/>
          <w:sz w:val="24"/>
          <w:szCs w:val="24"/>
          <w:lang w:val="en-US"/>
        </w:rPr>
        <w:t>bivariat</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menunjukkan</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pengetahuan</w:t>
      </w:r>
      <w:proofErr w:type="spellEnd"/>
      <w:r w:rsidRPr="0099415A">
        <w:rPr>
          <w:rFonts w:ascii="Times New Roman" w:eastAsia="Times New Roman" w:hAnsi="Times New Roman" w:cs="Times New Roman"/>
          <w:sz w:val="24"/>
          <w:szCs w:val="24"/>
          <w:lang w:val="en-US"/>
        </w:rPr>
        <w:t xml:space="preserve"> (p=0,017), </w:t>
      </w:r>
      <w:proofErr w:type="spellStart"/>
      <w:r w:rsidRPr="0099415A">
        <w:rPr>
          <w:rFonts w:ascii="Times New Roman" w:eastAsia="Times New Roman" w:hAnsi="Times New Roman" w:cs="Times New Roman"/>
          <w:sz w:val="24"/>
          <w:szCs w:val="24"/>
          <w:lang w:val="en-US"/>
        </w:rPr>
        <w:t>sikap</w:t>
      </w:r>
      <w:proofErr w:type="spellEnd"/>
      <w:r w:rsidRPr="0099415A">
        <w:rPr>
          <w:rFonts w:ascii="Times New Roman" w:eastAsia="Times New Roman" w:hAnsi="Times New Roman" w:cs="Times New Roman"/>
          <w:sz w:val="24"/>
          <w:szCs w:val="24"/>
          <w:lang w:val="en-US"/>
        </w:rPr>
        <w:t xml:space="preserve"> (p=0,002), dan </w:t>
      </w:r>
      <w:proofErr w:type="spellStart"/>
      <w:r w:rsidRPr="0099415A">
        <w:rPr>
          <w:rFonts w:ascii="Times New Roman" w:eastAsia="Times New Roman" w:hAnsi="Times New Roman" w:cs="Times New Roman"/>
          <w:sz w:val="24"/>
          <w:szCs w:val="24"/>
          <w:lang w:val="en-US"/>
        </w:rPr>
        <w:t>dukungan</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keluarga</w:t>
      </w:r>
      <w:proofErr w:type="spellEnd"/>
      <w:r w:rsidRPr="0099415A">
        <w:rPr>
          <w:rFonts w:ascii="Times New Roman" w:eastAsia="Times New Roman" w:hAnsi="Times New Roman" w:cs="Times New Roman"/>
          <w:sz w:val="24"/>
          <w:szCs w:val="24"/>
          <w:lang w:val="en-US"/>
        </w:rPr>
        <w:t xml:space="preserve"> (p=0,000) </w:t>
      </w:r>
      <w:proofErr w:type="spellStart"/>
      <w:r w:rsidRPr="0099415A">
        <w:rPr>
          <w:rFonts w:ascii="Times New Roman" w:eastAsia="Times New Roman" w:hAnsi="Times New Roman" w:cs="Times New Roman"/>
          <w:sz w:val="24"/>
          <w:szCs w:val="24"/>
          <w:lang w:val="en-US"/>
        </w:rPr>
        <w:t>berhubungan</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signifikan</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dengan</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keikutsertaan</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Sebaliknya</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pendidikan</w:t>
      </w:r>
      <w:proofErr w:type="spellEnd"/>
      <w:r w:rsidRPr="0099415A">
        <w:rPr>
          <w:rFonts w:ascii="Times New Roman" w:eastAsia="Times New Roman" w:hAnsi="Times New Roman" w:cs="Times New Roman"/>
          <w:sz w:val="24"/>
          <w:szCs w:val="24"/>
          <w:lang w:val="en-US"/>
        </w:rPr>
        <w:t xml:space="preserve"> (p=0,959) dan </w:t>
      </w:r>
      <w:proofErr w:type="spellStart"/>
      <w:r w:rsidRPr="0099415A">
        <w:rPr>
          <w:rFonts w:ascii="Times New Roman" w:eastAsia="Times New Roman" w:hAnsi="Times New Roman" w:cs="Times New Roman"/>
          <w:sz w:val="24"/>
          <w:szCs w:val="24"/>
          <w:lang w:val="en-US"/>
        </w:rPr>
        <w:t>usia</w:t>
      </w:r>
      <w:proofErr w:type="spellEnd"/>
      <w:r w:rsidRPr="0099415A">
        <w:rPr>
          <w:rFonts w:ascii="Times New Roman" w:eastAsia="Times New Roman" w:hAnsi="Times New Roman" w:cs="Times New Roman"/>
          <w:sz w:val="24"/>
          <w:szCs w:val="24"/>
          <w:lang w:val="en-US"/>
        </w:rPr>
        <w:t xml:space="preserve"> (p=0,089) </w:t>
      </w:r>
      <w:proofErr w:type="spellStart"/>
      <w:r w:rsidRPr="0099415A">
        <w:rPr>
          <w:rFonts w:ascii="Times New Roman" w:eastAsia="Times New Roman" w:hAnsi="Times New Roman" w:cs="Times New Roman"/>
          <w:sz w:val="24"/>
          <w:szCs w:val="24"/>
          <w:lang w:val="en-US"/>
        </w:rPr>
        <w:t>tidak</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menunjukkan</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hubungan</w:t>
      </w:r>
      <w:proofErr w:type="spellEnd"/>
      <w:r w:rsidRPr="0099415A">
        <w:rPr>
          <w:rFonts w:ascii="Times New Roman" w:eastAsia="Times New Roman" w:hAnsi="Times New Roman" w:cs="Times New Roman"/>
          <w:sz w:val="24"/>
          <w:szCs w:val="24"/>
          <w:lang w:val="en-US"/>
        </w:rPr>
        <w:t xml:space="preserve"> yang </w:t>
      </w:r>
      <w:proofErr w:type="spellStart"/>
      <w:r w:rsidRPr="0099415A">
        <w:rPr>
          <w:rFonts w:ascii="Times New Roman" w:eastAsia="Times New Roman" w:hAnsi="Times New Roman" w:cs="Times New Roman"/>
          <w:sz w:val="24"/>
          <w:szCs w:val="24"/>
          <w:lang w:val="en-US"/>
        </w:rPr>
        <w:t>bermakna</w:t>
      </w:r>
      <w:proofErr w:type="spellEnd"/>
      <w:r w:rsidRPr="0099415A">
        <w:rPr>
          <w:rFonts w:ascii="Times New Roman" w:eastAsia="Times New Roman" w:hAnsi="Times New Roman" w:cs="Times New Roman"/>
          <w:sz w:val="24"/>
          <w:szCs w:val="24"/>
          <w:lang w:val="en-US"/>
        </w:rPr>
        <w:t>.</w:t>
      </w:r>
    </w:p>
    <w:p w14:paraId="2FF12687" w14:textId="77777777" w:rsidR="0099415A" w:rsidRDefault="0099415A" w:rsidP="0099415A">
      <w:pPr>
        <w:spacing w:after="0" w:line="276" w:lineRule="auto"/>
        <w:jc w:val="both"/>
        <w:rPr>
          <w:rFonts w:ascii="Times New Roman" w:eastAsia="Times New Roman" w:hAnsi="Times New Roman" w:cs="Times New Roman"/>
          <w:sz w:val="24"/>
          <w:szCs w:val="24"/>
          <w:lang w:val="en-US"/>
        </w:rPr>
      </w:pPr>
    </w:p>
    <w:p w14:paraId="7D33B5F4" w14:textId="77777777" w:rsidR="00B100F4" w:rsidRDefault="00B100F4" w:rsidP="0099415A">
      <w:pPr>
        <w:spacing w:after="0" w:line="276" w:lineRule="auto"/>
        <w:jc w:val="both"/>
        <w:rPr>
          <w:rFonts w:ascii="Times New Roman" w:eastAsia="Times New Roman" w:hAnsi="Times New Roman" w:cs="Times New Roman"/>
          <w:sz w:val="24"/>
          <w:szCs w:val="24"/>
          <w:lang w:val="en-US"/>
        </w:rPr>
      </w:pPr>
    </w:p>
    <w:p w14:paraId="5ADFF333" w14:textId="77777777" w:rsidR="00B100F4" w:rsidRPr="0099415A" w:rsidRDefault="00B100F4" w:rsidP="0099415A">
      <w:pPr>
        <w:spacing w:after="0" w:line="276" w:lineRule="auto"/>
        <w:jc w:val="both"/>
        <w:rPr>
          <w:rFonts w:ascii="Times New Roman" w:eastAsia="Times New Roman" w:hAnsi="Times New Roman" w:cs="Times New Roman"/>
          <w:sz w:val="24"/>
          <w:szCs w:val="24"/>
          <w:lang w:val="en-US"/>
        </w:rPr>
      </w:pPr>
    </w:p>
    <w:p w14:paraId="0925914B" w14:textId="515FE5A7" w:rsidR="0099415A" w:rsidRDefault="0099415A" w:rsidP="0099415A">
      <w:pPr>
        <w:spacing w:after="0" w:line="276" w:lineRule="auto"/>
        <w:jc w:val="center"/>
        <w:rPr>
          <w:rFonts w:ascii="Times New Roman" w:eastAsia="Times New Roman" w:hAnsi="Times New Roman" w:cs="Times New Roman"/>
          <w:b/>
          <w:bCs/>
          <w:sz w:val="24"/>
          <w:szCs w:val="24"/>
          <w:lang w:val="en-US"/>
        </w:rPr>
      </w:pPr>
      <w:r w:rsidRPr="0099415A">
        <w:rPr>
          <w:rFonts w:ascii="Times New Roman" w:eastAsia="Times New Roman" w:hAnsi="Times New Roman" w:cs="Times New Roman"/>
          <w:b/>
          <w:bCs/>
          <w:sz w:val="24"/>
          <w:szCs w:val="24"/>
          <w:lang w:val="en-US"/>
        </w:rPr>
        <w:lastRenderedPageBreak/>
        <w:t xml:space="preserve">Tabel 2. </w:t>
      </w:r>
      <w:proofErr w:type="spellStart"/>
      <w:r w:rsidRPr="0099415A">
        <w:rPr>
          <w:rFonts w:ascii="Times New Roman" w:eastAsia="Times New Roman" w:hAnsi="Times New Roman" w:cs="Times New Roman"/>
          <w:b/>
          <w:bCs/>
          <w:sz w:val="24"/>
          <w:szCs w:val="24"/>
          <w:lang w:val="en-US"/>
        </w:rPr>
        <w:t>Hubungan</w:t>
      </w:r>
      <w:proofErr w:type="spellEnd"/>
      <w:r w:rsidRPr="0099415A">
        <w:rPr>
          <w:rFonts w:ascii="Times New Roman" w:eastAsia="Times New Roman" w:hAnsi="Times New Roman" w:cs="Times New Roman"/>
          <w:b/>
          <w:bCs/>
          <w:sz w:val="24"/>
          <w:szCs w:val="24"/>
          <w:lang w:val="en-US"/>
        </w:rPr>
        <w:t xml:space="preserve"> Faktor </w:t>
      </w:r>
      <w:proofErr w:type="spellStart"/>
      <w:r w:rsidRPr="0099415A">
        <w:rPr>
          <w:rFonts w:ascii="Times New Roman" w:eastAsia="Times New Roman" w:hAnsi="Times New Roman" w:cs="Times New Roman"/>
          <w:b/>
          <w:bCs/>
          <w:sz w:val="24"/>
          <w:szCs w:val="24"/>
          <w:lang w:val="en-US"/>
        </w:rPr>
        <w:t>dengan</w:t>
      </w:r>
      <w:proofErr w:type="spellEnd"/>
      <w:r w:rsidRPr="0099415A">
        <w:rPr>
          <w:rFonts w:ascii="Times New Roman" w:eastAsia="Times New Roman" w:hAnsi="Times New Roman" w:cs="Times New Roman"/>
          <w:b/>
          <w:bCs/>
          <w:sz w:val="24"/>
          <w:szCs w:val="24"/>
          <w:lang w:val="en-US"/>
        </w:rPr>
        <w:t xml:space="preserve"> </w:t>
      </w:r>
      <w:proofErr w:type="spellStart"/>
      <w:r w:rsidRPr="0099415A">
        <w:rPr>
          <w:rFonts w:ascii="Times New Roman" w:eastAsia="Times New Roman" w:hAnsi="Times New Roman" w:cs="Times New Roman"/>
          <w:b/>
          <w:bCs/>
          <w:sz w:val="24"/>
          <w:szCs w:val="24"/>
          <w:lang w:val="en-US"/>
        </w:rPr>
        <w:t>Keikutsertaan</w:t>
      </w:r>
      <w:proofErr w:type="spellEnd"/>
      <w:r w:rsidRPr="0099415A">
        <w:rPr>
          <w:rFonts w:ascii="Times New Roman" w:eastAsia="Times New Roman" w:hAnsi="Times New Roman" w:cs="Times New Roman"/>
          <w:b/>
          <w:bCs/>
          <w:sz w:val="24"/>
          <w:szCs w:val="24"/>
          <w:lang w:val="en-US"/>
        </w:rPr>
        <w:t xml:space="preserve"> BPJS Non PBI</w:t>
      </w:r>
    </w:p>
    <w:tbl>
      <w:tblPr>
        <w:tblStyle w:val="PlainTable2"/>
        <w:tblW w:w="0" w:type="auto"/>
        <w:tblLook w:val="04A0" w:firstRow="1" w:lastRow="0" w:firstColumn="1" w:lastColumn="0" w:noHBand="0" w:noVBand="1"/>
      </w:tblPr>
      <w:tblGrid>
        <w:gridCol w:w="2880"/>
        <w:gridCol w:w="2880"/>
        <w:gridCol w:w="2880"/>
      </w:tblGrid>
      <w:tr w:rsidR="0099415A" w:rsidRPr="00892DEE" w14:paraId="61B4E8FF" w14:textId="77777777" w:rsidTr="004E0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D46B861" w14:textId="77777777" w:rsidR="0099415A" w:rsidRPr="00892DEE" w:rsidRDefault="0099415A" w:rsidP="0099415A">
            <w:pPr>
              <w:rPr>
                <w:szCs w:val="20"/>
              </w:rPr>
            </w:pPr>
            <w:proofErr w:type="spellStart"/>
            <w:r w:rsidRPr="00892DEE">
              <w:rPr>
                <w:szCs w:val="20"/>
              </w:rPr>
              <w:t>Variabel</w:t>
            </w:r>
            <w:proofErr w:type="spellEnd"/>
          </w:p>
        </w:tc>
        <w:tc>
          <w:tcPr>
            <w:tcW w:w="2880" w:type="dxa"/>
          </w:tcPr>
          <w:p w14:paraId="7D1C5AFE" w14:textId="77777777" w:rsidR="0099415A" w:rsidRPr="00892DEE" w:rsidRDefault="0099415A" w:rsidP="0099415A">
            <w:pPr>
              <w:cnfStyle w:val="100000000000" w:firstRow="1" w:lastRow="0" w:firstColumn="0" w:lastColumn="0" w:oddVBand="0" w:evenVBand="0" w:oddHBand="0" w:evenHBand="0" w:firstRowFirstColumn="0" w:firstRowLastColumn="0" w:lastRowFirstColumn="0" w:lastRowLastColumn="0"/>
              <w:rPr>
                <w:szCs w:val="20"/>
              </w:rPr>
            </w:pPr>
            <w:r w:rsidRPr="00892DEE">
              <w:rPr>
                <w:szCs w:val="20"/>
              </w:rPr>
              <w:t>p-value</w:t>
            </w:r>
          </w:p>
        </w:tc>
        <w:tc>
          <w:tcPr>
            <w:tcW w:w="2880" w:type="dxa"/>
          </w:tcPr>
          <w:p w14:paraId="43DBC8D8" w14:textId="77777777" w:rsidR="0099415A" w:rsidRPr="00892DEE" w:rsidRDefault="0099415A" w:rsidP="0099415A">
            <w:pPr>
              <w:cnfStyle w:val="100000000000" w:firstRow="1" w:lastRow="0" w:firstColumn="0" w:lastColumn="0" w:oddVBand="0" w:evenVBand="0" w:oddHBand="0" w:evenHBand="0" w:firstRowFirstColumn="0" w:firstRowLastColumn="0" w:lastRowFirstColumn="0" w:lastRowLastColumn="0"/>
              <w:rPr>
                <w:szCs w:val="20"/>
              </w:rPr>
            </w:pPr>
            <w:proofErr w:type="spellStart"/>
            <w:r w:rsidRPr="00892DEE">
              <w:rPr>
                <w:szCs w:val="20"/>
              </w:rPr>
              <w:t>Keterangan</w:t>
            </w:r>
            <w:proofErr w:type="spellEnd"/>
          </w:p>
        </w:tc>
      </w:tr>
      <w:tr w:rsidR="0099415A" w:rsidRPr="00892DEE" w14:paraId="4583AEF1" w14:textId="77777777" w:rsidTr="004E0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45B795E" w14:textId="77777777" w:rsidR="0099415A" w:rsidRPr="00892DEE" w:rsidRDefault="0099415A" w:rsidP="0099415A">
            <w:pPr>
              <w:rPr>
                <w:szCs w:val="20"/>
              </w:rPr>
            </w:pPr>
            <w:r w:rsidRPr="00892DEE">
              <w:rPr>
                <w:szCs w:val="20"/>
              </w:rPr>
              <w:t>Pendidikan</w:t>
            </w:r>
          </w:p>
        </w:tc>
        <w:tc>
          <w:tcPr>
            <w:tcW w:w="2880" w:type="dxa"/>
          </w:tcPr>
          <w:p w14:paraId="744BF937"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rPr>
                <w:szCs w:val="20"/>
              </w:rPr>
            </w:pPr>
            <w:r w:rsidRPr="00892DEE">
              <w:rPr>
                <w:szCs w:val="20"/>
              </w:rPr>
              <w:t>0,959</w:t>
            </w:r>
          </w:p>
        </w:tc>
        <w:tc>
          <w:tcPr>
            <w:tcW w:w="2880" w:type="dxa"/>
          </w:tcPr>
          <w:p w14:paraId="21A4ACBE"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rPr>
                <w:szCs w:val="20"/>
              </w:rPr>
            </w:pPr>
            <w:r w:rsidRPr="00892DEE">
              <w:rPr>
                <w:szCs w:val="20"/>
              </w:rPr>
              <w:t xml:space="preserve">Tidak </w:t>
            </w:r>
            <w:proofErr w:type="spellStart"/>
            <w:r w:rsidRPr="00892DEE">
              <w:rPr>
                <w:szCs w:val="20"/>
              </w:rPr>
              <w:t>signifikan</w:t>
            </w:r>
            <w:proofErr w:type="spellEnd"/>
          </w:p>
        </w:tc>
      </w:tr>
      <w:tr w:rsidR="0099415A" w:rsidRPr="00892DEE" w14:paraId="63A4B8EE" w14:textId="77777777" w:rsidTr="004E0382">
        <w:tc>
          <w:tcPr>
            <w:cnfStyle w:val="001000000000" w:firstRow="0" w:lastRow="0" w:firstColumn="1" w:lastColumn="0" w:oddVBand="0" w:evenVBand="0" w:oddHBand="0" w:evenHBand="0" w:firstRowFirstColumn="0" w:firstRowLastColumn="0" w:lastRowFirstColumn="0" w:lastRowLastColumn="0"/>
            <w:tcW w:w="2880" w:type="dxa"/>
          </w:tcPr>
          <w:p w14:paraId="67DB3D0C" w14:textId="77777777" w:rsidR="0099415A" w:rsidRPr="00892DEE" w:rsidRDefault="0099415A" w:rsidP="0099415A">
            <w:pPr>
              <w:rPr>
                <w:szCs w:val="20"/>
              </w:rPr>
            </w:pPr>
            <w:proofErr w:type="spellStart"/>
            <w:r w:rsidRPr="00892DEE">
              <w:rPr>
                <w:szCs w:val="20"/>
              </w:rPr>
              <w:t>Pengetahuan</w:t>
            </w:r>
            <w:proofErr w:type="spellEnd"/>
          </w:p>
        </w:tc>
        <w:tc>
          <w:tcPr>
            <w:tcW w:w="2880" w:type="dxa"/>
          </w:tcPr>
          <w:p w14:paraId="60C1EBF8"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rPr>
                <w:szCs w:val="20"/>
              </w:rPr>
            </w:pPr>
            <w:r w:rsidRPr="00892DEE">
              <w:rPr>
                <w:szCs w:val="20"/>
              </w:rPr>
              <w:t>0,017</w:t>
            </w:r>
          </w:p>
        </w:tc>
        <w:tc>
          <w:tcPr>
            <w:tcW w:w="2880" w:type="dxa"/>
          </w:tcPr>
          <w:p w14:paraId="0A86778B"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rPr>
                <w:szCs w:val="20"/>
              </w:rPr>
            </w:pPr>
            <w:proofErr w:type="spellStart"/>
            <w:r w:rsidRPr="00892DEE">
              <w:rPr>
                <w:szCs w:val="20"/>
              </w:rPr>
              <w:t>Signifikan</w:t>
            </w:r>
            <w:proofErr w:type="spellEnd"/>
          </w:p>
        </w:tc>
      </w:tr>
      <w:tr w:rsidR="0099415A" w:rsidRPr="00892DEE" w14:paraId="7FB8EF89" w14:textId="77777777" w:rsidTr="004E0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1576D75" w14:textId="77777777" w:rsidR="0099415A" w:rsidRPr="00892DEE" w:rsidRDefault="0099415A" w:rsidP="0099415A">
            <w:pPr>
              <w:rPr>
                <w:szCs w:val="20"/>
              </w:rPr>
            </w:pPr>
            <w:proofErr w:type="spellStart"/>
            <w:r w:rsidRPr="00892DEE">
              <w:rPr>
                <w:szCs w:val="20"/>
              </w:rPr>
              <w:t>Sikap</w:t>
            </w:r>
            <w:proofErr w:type="spellEnd"/>
          </w:p>
        </w:tc>
        <w:tc>
          <w:tcPr>
            <w:tcW w:w="2880" w:type="dxa"/>
          </w:tcPr>
          <w:p w14:paraId="520F0A07"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rPr>
                <w:szCs w:val="20"/>
              </w:rPr>
            </w:pPr>
            <w:r w:rsidRPr="00892DEE">
              <w:rPr>
                <w:szCs w:val="20"/>
              </w:rPr>
              <w:t>0,002</w:t>
            </w:r>
          </w:p>
        </w:tc>
        <w:tc>
          <w:tcPr>
            <w:tcW w:w="2880" w:type="dxa"/>
          </w:tcPr>
          <w:p w14:paraId="2600974B"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rPr>
                <w:szCs w:val="20"/>
              </w:rPr>
            </w:pPr>
            <w:proofErr w:type="spellStart"/>
            <w:r w:rsidRPr="00892DEE">
              <w:rPr>
                <w:szCs w:val="20"/>
              </w:rPr>
              <w:t>Signifikan</w:t>
            </w:r>
            <w:proofErr w:type="spellEnd"/>
          </w:p>
        </w:tc>
      </w:tr>
      <w:tr w:rsidR="0099415A" w:rsidRPr="00892DEE" w14:paraId="4C1F11FC" w14:textId="77777777" w:rsidTr="004E0382">
        <w:tc>
          <w:tcPr>
            <w:cnfStyle w:val="001000000000" w:firstRow="0" w:lastRow="0" w:firstColumn="1" w:lastColumn="0" w:oddVBand="0" w:evenVBand="0" w:oddHBand="0" w:evenHBand="0" w:firstRowFirstColumn="0" w:firstRowLastColumn="0" w:lastRowFirstColumn="0" w:lastRowLastColumn="0"/>
            <w:tcW w:w="2880" w:type="dxa"/>
          </w:tcPr>
          <w:p w14:paraId="74CA4C0F" w14:textId="77777777" w:rsidR="0099415A" w:rsidRPr="00892DEE" w:rsidRDefault="0099415A" w:rsidP="0099415A">
            <w:pPr>
              <w:rPr>
                <w:szCs w:val="20"/>
              </w:rPr>
            </w:pPr>
            <w:proofErr w:type="spellStart"/>
            <w:r w:rsidRPr="00892DEE">
              <w:rPr>
                <w:szCs w:val="20"/>
              </w:rPr>
              <w:t>Usia</w:t>
            </w:r>
            <w:proofErr w:type="spellEnd"/>
          </w:p>
        </w:tc>
        <w:tc>
          <w:tcPr>
            <w:tcW w:w="2880" w:type="dxa"/>
          </w:tcPr>
          <w:p w14:paraId="0FD4CDDE"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rPr>
                <w:szCs w:val="20"/>
              </w:rPr>
            </w:pPr>
            <w:r w:rsidRPr="00892DEE">
              <w:rPr>
                <w:szCs w:val="20"/>
              </w:rPr>
              <w:t>0,089</w:t>
            </w:r>
          </w:p>
        </w:tc>
        <w:tc>
          <w:tcPr>
            <w:tcW w:w="2880" w:type="dxa"/>
          </w:tcPr>
          <w:p w14:paraId="71EA7F35" w14:textId="77777777" w:rsidR="0099415A" w:rsidRPr="00892DEE" w:rsidRDefault="0099415A" w:rsidP="0099415A">
            <w:pPr>
              <w:cnfStyle w:val="000000000000" w:firstRow="0" w:lastRow="0" w:firstColumn="0" w:lastColumn="0" w:oddVBand="0" w:evenVBand="0" w:oddHBand="0" w:evenHBand="0" w:firstRowFirstColumn="0" w:firstRowLastColumn="0" w:lastRowFirstColumn="0" w:lastRowLastColumn="0"/>
              <w:rPr>
                <w:szCs w:val="20"/>
              </w:rPr>
            </w:pPr>
            <w:r w:rsidRPr="00892DEE">
              <w:rPr>
                <w:szCs w:val="20"/>
              </w:rPr>
              <w:t xml:space="preserve">Tidak </w:t>
            </w:r>
            <w:proofErr w:type="spellStart"/>
            <w:r w:rsidRPr="00892DEE">
              <w:rPr>
                <w:szCs w:val="20"/>
              </w:rPr>
              <w:t>signifikan</w:t>
            </w:r>
            <w:proofErr w:type="spellEnd"/>
          </w:p>
        </w:tc>
      </w:tr>
      <w:tr w:rsidR="0099415A" w:rsidRPr="00892DEE" w14:paraId="33EBF272" w14:textId="77777777" w:rsidTr="004E0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F01C297" w14:textId="77777777" w:rsidR="0099415A" w:rsidRPr="00892DEE" w:rsidRDefault="0099415A" w:rsidP="0099415A">
            <w:pPr>
              <w:rPr>
                <w:szCs w:val="20"/>
              </w:rPr>
            </w:pPr>
            <w:proofErr w:type="spellStart"/>
            <w:r w:rsidRPr="00892DEE">
              <w:rPr>
                <w:szCs w:val="20"/>
              </w:rPr>
              <w:t>Dukungan</w:t>
            </w:r>
            <w:proofErr w:type="spellEnd"/>
            <w:r w:rsidRPr="00892DEE">
              <w:rPr>
                <w:szCs w:val="20"/>
              </w:rPr>
              <w:t xml:space="preserve"> </w:t>
            </w:r>
            <w:proofErr w:type="spellStart"/>
            <w:r w:rsidRPr="00892DEE">
              <w:rPr>
                <w:szCs w:val="20"/>
              </w:rPr>
              <w:t>keluarga</w:t>
            </w:r>
            <w:proofErr w:type="spellEnd"/>
          </w:p>
        </w:tc>
        <w:tc>
          <w:tcPr>
            <w:tcW w:w="2880" w:type="dxa"/>
          </w:tcPr>
          <w:p w14:paraId="61931716"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rPr>
                <w:szCs w:val="20"/>
              </w:rPr>
            </w:pPr>
            <w:r w:rsidRPr="00892DEE">
              <w:rPr>
                <w:szCs w:val="20"/>
              </w:rPr>
              <w:t>0,000</w:t>
            </w:r>
          </w:p>
        </w:tc>
        <w:tc>
          <w:tcPr>
            <w:tcW w:w="2880" w:type="dxa"/>
          </w:tcPr>
          <w:p w14:paraId="62E986F9" w14:textId="77777777" w:rsidR="0099415A" w:rsidRPr="00892DEE" w:rsidRDefault="0099415A" w:rsidP="0099415A">
            <w:pPr>
              <w:cnfStyle w:val="000000100000" w:firstRow="0" w:lastRow="0" w:firstColumn="0" w:lastColumn="0" w:oddVBand="0" w:evenVBand="0" w:oddHBand="1" w:evenHBand="0" w:firstRowFirstColumn="0" w:firstRowLastColumn="0" w:lastRowFirstColumn="0" w:lastRowLastColumn="0"/>
              <w:rPr>
                <w:szCs w:val="20"/>
              </w:rPr>
            </w:pPr>
            <w:proofErr w:type="spellStart"/>
            <w:r w:rsidRPr="00892DEE">
              <w:rPr>
                <w:szCs w:val="20"/>
              </w:rPr>
              <w:t>Signifikan</w:t>
            </w:r>
            <w:proofErr w:type="spellEnd"/>
          </w:p>
        </w:tc>
      </w:tr>
    </w:tbl>
    <w:p w14:paraId="286F9F80" w14:textId="77777777" w:rsidR="0099415A" w:rsidRDefault="0099415A" w:rsidP="0099415A">
      <w:pPr>
        <w:spacing w:after="0" w:line="276" w:lineRule="auto"/>
        <w:rPr>
          <w:rFonts w:ascii="Times New Roman" w:eastAsia="Times New Roman" w:hAnsi="Times New Roman" w:cs="Times New Roman"/>
          <w:b/>
          <w:bCs/>
          <w:sz w:val="24"/>
          <w:szCs w:val="24"/>
          <w:lang w:val="en-US"/>
        </w:rPr>
      </w:pPr>
    </w:p>
    <w:p w14:paraId="7035220D" w14:textId="77777777" w:rsidR="0099415A" w:rsidRPr="0099415A" w:rsidRDefault="0099415A" w:rsidP="0099415A">
      <w:pPr>
        <w:spacing w:after="0" w:line="276" w:lineRule="auto"/>
        <w:jc w:val="both"/>
        <w:rPr>
          <w:rFonts w:ascii="Times New Roman" w:eastAsia="Times New Roman" w:hAnsi="Times New Roman" w:cs="Times New Roman"/>
          <w:sz w:val="24"/>
          <w:szCs w:val="24"/>
          <w:lang w:val="fi-FI"/>
        </w:rPr>
      </w:pPr>
      <w:proofErr w:type="spellStart"/>
      <w:r w:rsidRPr="0099415A">
        <w:rPr>
          <w:rFonts w:ascii="Times New Roman" w:eastAsia="Times New Roman" w:hAnsi="Times New Roman" w:cs="Times New Roman"/>
          <w:sz w:val="24"/>
          <w:szCs w:val="24"/>
          <w:lang w:val="en-US"/>
        </w:rPr>
        <w:t>Secara</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multivariat</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ketiga</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variabel</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tetap</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berasosiasi</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independen</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dengan</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keikutsertaan</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dukungan</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keluarga</w:t>
      </w:r>
      <w:proofErr w:type="spellEnd"/>
      <w:r w:rsidRPr="0099415A">
        <w:rPr>
          <w:rFonts w:ascii="Times New Roman" w:eastAsia="Times New Roman" w:hAnsi="Times New Roman" w:cs="Times New Roman"/>
          <w:sz w:val="24"/>
          <w:szCs w:val="24"/>
          <w:lang w:val="en-US"/>
        </w:rPr>
        <w:t xml:space="preserve"> paling </w:t>
      </w:r>
      <w:proofErr w:type="spellStart"/>
      <w:r w:rsidRPr="0099415A">
        <w:rPr>
          <w:rFonts w:ascii="Times New Roman" w:eastAsia="Times New Roman" w:hAnsi="Times New Roman" w:cs="Times New Roman"/>
          <w:sz w:val="24"/>
          <w:szCs w:val="24"/>
          <w:lang w:val="en-US"/>
        </w:rPr>
        <w:t>dominan</w:t>
      </w:r>
      <w:proofErr w:type="spellEnd"/>
      <w:r w:rsidRPr="0099415A">
        <w:rPr>
          <w:rFonts w:ascii="Times New Roman" w:eastAsia="Times New Roman" w:hAnsi="Times New Roman" w:cs="Times New Roman"/>
          <w:sz w:val="24"/>
          <w:szCs w:val="24"/>
          <w:lang w:val="en-US"/>
        </w:rPr>
        <w:t xml:space="preserve"> (OR=5,197; 95%CI: 2,484–10,872; p&lt;0,001), </w:t>
      </w:r>
      <w:proofErr w:type="spellStart"/>
      <w:r w:rsidRPr="0099415A">
        <w:rPr>
          <w:rFonts w:ascii="Times New Roman" w:eastAsia="Times New Roman" w:hAnsi="Times New Roman" w:cs="Times New Roman"/>
          <w:sz w:val="24"/>
          <w:szCs w:val="24"/>
          <w:lang w:val="en-US"/>
        </w:rPr>
        <w:t>diikuti</w:t>
      </w:r>
      <w:proofErr w:type="spellEnd"/>
      <w:r w:rsidRPr="0099415A">
        <w:rPr>
          <w:rFonts w:ascii="Times New Roman" w:eastAsia="Times New Roman" w:hAnsi="Times New Roman" w:cs="Times New Roman"/>
          <w:sz w:val="24"/>
          <w:szCs w:val="24"/>
          <w:lang w:val="en-US"/>
        </w:rPr>
        <w:t xml:space="preserve"> </w:t>
      </w:r>
      <w:proofErr w:type="spellStart"/>
      <w:r w:rsidRPr="0099415A">
        <w:rPr>
          <w:rFonts w:ascii="Times New Roman" w:eastAsia="Times New Roman" w:hAnsi="Times New Roman" w:cs="Times New Roman"/>
          <w:sz w:val="24"/>
          <w:szCs w:val="24"/>
          <w:lang w:val="en-US"/>
        </w:rPr>
        <w:t>sikap</w:t>
      </w:r>
      <w:proofErr w:type="spellEnd"/>
      <w:r w:rsidRPr="0099415A">
        <w:rPr>
          <w:rFonts w:ascii="Times New Roman" w:eastAsia="Times New Roman" w:hAnsi="Times New Roman" w:cs="Times New Roman"/>
          <w:sz w:val="24"/>
          <w:szCs w:val="24"/>
          <w:lang w:val="en-US"/>
        </w:rPr>
        <w:t xml:space="preserve"> (OR=3,637; 95%CI: 1,654–7,997; p=0,002) dan </w:t>
      </w:r>
      <w:proofErr w:type="spellStart"/>
      <w:r w:rsidRPr="0099415A">
        <w:rPr>
          <w:rFonts w:ascii="Times New Roman" w:eastAsia="Times New Roman" w:hAnsi="Times New Roman" w:cs="Times New Roman"/>
          <w:sz w:val="24"/>
          <w:szCs w:val="24"/>
          <w:lang w:val="en-US"/>
        </w:rPr>
        <w:t>pengetahuan</w:t>
      </w:r>
      <w:proofErr w:type="spellEnd"/>
      <w:r w:rsidRPr="0099415A">
        <w:rPr>
          <w:rFonts w:ascii="Times New Roman" w:eastAsia="Times New Roman" w:hAnsi="Times New Roman" w:cs="Times New Roman"/>
          <w:sz w:val="24"/>
          <w:szCs w:val="24"/>
          <w:lang w:val="en-US"/>
        </w:rPr>
        <w:t xml:space="preserve"> (OR=1,854; 95%CI: 1,110–3,092; p=0,017). </w:t>
      </w:r>
      <w:r w:rsidRPr="0099415A">
        <w:rPr>
          <w:rFonts w:ascii="Times New Roman" w:eastAsia="Times New Roman" w:hAnsi="Times New Roman" w:cs="Times New Roman"/>
          <w:sz w:val="24"/>
          <w:szCs w:val="24"/>
          <w:lang w:val="fi-FI"/>
        </w:rPr>
        <w:t>Seluruh CI 95% tidak melintasi 1, menegaskan signifikansi efeknya.</w:t>
      </w:r>
    </w:p>
    <w:p w14:paraId="41684EE0" w14:textId="77777777" w:rsidR="0099415A" w:rsidRPr="0099415A" w:rsidRDefault="0099415A" w:rsidP="0099415A">
      <w:pPr>
        <w:spacing w:after="0" w:line="276" w:lineRule="auto"/>
        <w:jc w:val="both"/>
        <w:rPr>
          <w:rFonts w:ascii="Times New Roman" w:eastAsia="Times New Roman" w:hAnsi="Times New Roman" w:cs="Times New Roman"/>
          <w:sz w:val="24"/>
          <w:szCs w:val="24"/>
          <w:lang w:val="fi-FI"/>
        </w:rPr>
      </w:pPr>
    </w:p>
    <w:p w14:paraId="616AB3D9" w14:textId="59A6AE7B" w:rsidR="0099415A" w:rsidRDefault="0099415A" w:rsidP="0099415A">
      <w:pPr>
        <w:spacing w:after="0" w:line="276" w:lineRule="auto"/>
        <w:jc w:val="center"/>
        <w:rPr>
          <w:rFonts w:ascii="Times New Roman" w:eastAsia="Times New Roman" w:hAnsi="Times New Roman" w:cs="Times New Roman"/>
          <w:b/>
          <w:bCs/>
          <w:sz w:val="24"/>
          <w:szCs w:val="24"/>
          <w:lang w:val="fi-FI"/>
        </w:rPr>
      </w:pPr>
      <w:r w:rsidRPr="0099415A">
        <w:rPr>
          <w:rFonts w:ascii="Times New Roman" w:eastAsia="Times New Roman" w:hAnsi="Times New Roman" w:cs="Times New Roman"/>
          <w:b/>
          <w:bCs/>
          <w:sz w:val="24"/>
          <w:szCs w:val="24"/>
          <w:lang w:val="fi-FI"/>
        </w:rPr>
        <w:t>Tabel 3. Hasil Analisis Regresi Logistik Multivariat</w:t>
      </w:r>
    </w:p>
    <w:tbl>
      <w:tblPr>
        <w:tblStyle w:val="PlainTable2"/>
        <w:tblW w:w="0" w:type="auto"/>
        <w:tblLook w:val="04A0" w:firstRow="1" w:lastRow="0" w:firstColumn="1" w:lastColumn="0" w:noHBand="0" w:noVBand="1"/>
      </w:tblPr>
      <w:tblGrid>
        <w:gridCol w:w="2520"/>
        <w:gridCol w:w="2160"/>
        <w:gridCol w:w="2160"/>
        <w:gridCol w:w="2160"/>
      </w:tblGrid>
      <w:tr w:rsidR="0099415A" w:rsidRPr="00E60CB2" w14:paraId="63E468F1" w14:textId="77777777" w:rsidTr="004E0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D93A9A2" w14:textId="77777777" w:rsidR="0099415A" w:rsidRPr="00E60CB2" w:rsidRDefault="0099415A" w:rsidP="0099415A">
            <w:pPr>
              <w:rPr>
                <w:szCs w:val="20"/>
              </w:rPr>
            </w:pPr>
            <w:proofErr w:type="spellStart"/>
            <w:r w:rsidRPr="00E60CB2">
              <w:rPr>
                <w:szCs w:val="20"/>
              </w:rPr>
              <w:t>Variabel</w:t>
            </w:r>
            <w:proofErr w:type="spellEnd"/>
          </w:p>
        </w:tc>
        <w:tc>
          <w:tcPr>
            <w:tcW w:w="2160" w:type="dxa"/>
          </w:tcPr>
          <w:p w14:paraId="14DF7D27" w14:textId="77777777" w:rsidR="0099415A" w:rsidRPr="00E60CB2" w:rsidRDefault="0099415A" w:rsidP="0099415A">
            <w:pPr>
              <w:jc w:val="center"/>
              <w:cnfStyle w:val="100000000000" w:firstRow="1" w:lastRow="0" w:firstColumn="0" w:lastColumn="0" w:oddVBand="0" w:evenVBand="0" w:oddHBand="0" w:evenHBand="0" w:firstRowFirstColumn="0" w:firstRowLastColumn="0" w:lastRowFirstColumn="0" w:lastRowLastColumn="0"/>
              <w:rPr>
                <w:szCs w:val="20"/>
              </w:rPr>
            </w:pPr>
            <w:r w:rsidRPr="00E60CB2">
              <w:rPr>
                <w:szCs w:val="20"/>
              </w:rPr>
              <w:t>OR</w:t>
            </w:r>
          </w:p>
        </w:tc>
        <w:tc>
          <w:tcPr>
            <w:tcW w:w="2160" w:type="dxa"/>
          </w:tcPr>
          <w:p w14:paraId="5CD0F7B7" w14:textId="77777777" w:rsidR="0099415A" w:rsidRPr="00E60CB2" w:rsidRDefault="0099415A" w:rsidP="0099415A">
            <w:pPr>
              <w:jc w:val="center"/>
              <w:cnfStyle w:val="100000000000" w:firstRow="1" w:lastRow="0" w:firstColumn="0" w:lastColumn="0" w:oddVBand="0" w:evenVBand="0" w:oddHBand="0" w:evenHBand="0" w:firstRowFirstColumn="0" w:firstRowLastColumn="0" w:lastRowFirstColumn="0" w:lastRowLastColumn="0"/>
              <w:rPr>
                <w:szCs w:val="20"/>
              </w:rPr>
            </w:pPr>
            <w:r w:rsidRPr="00E60CB2">
              <w:rPr>
                <w:szCs w:val="20"/>
              </w:rPr>
              <w:t>95% CI</w:t>
            </w:r>
          </w:p>
        </w:tc>
        <w:tc>
          <w:tcPr>
            <w:tcW w:w="2160" w:type="dxa"/>
          </w:tcPr>
          <w:p w14:paraId="57BC0A4F" w14:textId="77777777" w:rsidR="0099415A" w:rsidRPr="00E60CB2" w:rsidRDefault="0099415A" w:rsidP="0099415A">
            <w:pPr>
              <w:jc w:val="center"/>
              <w:cnfStyle w:val="100000000000" w:firstRow="1" w:lastRow="0" w:firstColumn="0" w:lastColumn="0" w:oddVBand="0" w:evenVBand="0" w:oddHBand="0" w:evenHBand="0" w:firstRowFirstColumn="0" w:firstRowLastColumn="0" w:lastRowFirstColumn="0" w:lastRowLastColumn="0"/>
              <w:rPr>
                <w:szCs w:val="20"/>
              </w:rPr>
            </w:pPr>
            <w:r w:rsidRPr="00E60CB2">
              <w:rPr>
                <w:szCs w:val="20"/>
              </w:rPr>
              <w:t>p-value</w:t>
            </w:r>
          </w:p>
        </w:tc>
      </w:tr>
      <w:tr w:rsidR="0099415A" w:rsidRPr="00E60CB2" w14:paraId="3795DBCA" w14:textId="77777777" w:rsidTr="004E0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C9AC323" w14:textId="77777777" w:rsidR="0099415A" w:rsidRPr="00E60CB2" w:rsidRDefault="0099415A" w:rsidP="0099415A">
            <w:pPr>
              <w:rPr>
                <w:szCs w:val="20"/>
              </w:rPr>
            </w:pPr>
            <w:proofErr w:type="spellStart"/>
            <w:r w:rsidRPr="00E60CB2">
              <w:rPr>
                <w:szCs w:val="20"/>
              </w:rPr>
              <w:t>Pengetahuan</w:t>
            </w:r>
            <w:proofErr w:type="spellEnd"/>
          </w:p>
        </w:tc>
        <w:tc>
          <w:tcPr>
            <w:tcW w:w="2160" w:type="dxa"/>
          </w:tcPr>
          <w:p w14:paraId="683CEA88" w14:textId="77777777" w:rsidR="0099415A" w:rsidRPr="00E60CB2" w:rsidRDefault="0099415A" w:rsidP="0099415A">
            <w:pPr>
              <w:jc w:val="center"/>
              <w:cnfStyle w:val="000000100000" w:firstRow="0" w:lastRow="0" w:firstColumn="0" w:lastColumn="0" w:oddVBand="0" w:evenVBand="0" w:oddHBand="1" w:evenHBand="0" w:firstRowFirstColumn="0" w:firstRowLastColumn="0" w:lastRowFirstColumn="0" w:lastRowLastColumn="0"/>
              <w:rPr>
                <w:szCs w:val="20"/>
              </w:rPr>
            </w:pPr>
            <w:r w:rsidRPr="00E60CB2">
              <w:rPr>
                <w:szCs w:val="20"/>
              </w:rPr>
              <w:t>1,854</w:t>
            </w:r>
          </w:p>
        </w:tc>
        <w:tc>
          <w:tcPr>
            <w:tcW w:w="2160" w:type="dxa"/>
          </w:tcPr>
          <w:p w14:paraId="03FE54ED" w14:textId="77777777" w:rsidR="0099415A" w:rsidRPr="00E60CB2" w:rsidRDefault="0099415A" w:rsidP="0099415A">
            <w:pPr>
              <w:jc w:val="center"/>
              <w:cnfStyle w:val="000000100000" w:firstRow="0" w:lastRow="0" w:firstColumn="0" w:lastColumn="0" w:oddVBand="0" w:evenVBand="0" w:oddHBand="1" w:evenHBand="0" w:firstRowFirstColumn="0" w:firstRowLastColumn="0" w:lastRowFirstColumn="0" w:lastRowLastColumn="0"/>
              <w:rPr>
                <w:szCs w:val="20"/>
              </w:rPr>
            </w:pPr>
            <w:r w:rsidRPr="00E60CB2">
              <w:rPr>
                <w:szCs w:val="20"/>
              </w:rPr>
              <w:t>1,110–3,092</w:t>
            </w:r>
          </w:p>
        </w:tc>
        <w:tc>
          <w:tcPr>
            <w:tcW w:w="2160" w:type="dxa"/>
          </w:tcPr>
          <w:p w14:paraId="4F0CC2B1" w14:textId="77777777" w:rsidR="0099415A" w:rsidRPr="00E60CB2" w:rsidRDefault="0099415A" w:rsidP="0099415A">
            <w:pPr>
              <w:jc w:val="center"/>
              <w:cnfStyle w:val="000000100000" w:firstRow="0" w:lastRow="0" w:firstColumn="0" w:lastColumn="0" w:oddVBand="0" w:evenVBand="0" w:oddHBand="1" w:evenHBand="0" w:firstRowFirstColumn="0" w:firstRowLastColumn="0" w:lastRowFirstColumn="0" w:lastRowLastColumn="0"/>
              <w:rPr>
                <w:szCs w:val="20"/>
              </w:rPr>
            </w:pPr>
            <w:r w:rsidRPr="00E60CB2">
              <w:rPr>
                <w:szCs w:val="20"/>
              </w:rPr>
              <w:t>0,017</w:t>
            </w:r>
          </w:p>
        </w:tc>
      </w:tr>
      <w:tr w:rsidR="0099415A" w:rsidRPr="00E60CB2" w14:paraId="008B1847" w14:textId="77777777" w:rsidTr="004E0382">
        <w:tc>
          <w:tcPr>
            <w:cnfStyle w:val="001000000000" w:firstRow="0" w:lastRow="0" w:firstColumn="1" w:lastColumn="0" w:oddVBand="0" w:evenVBand="0" w:oddHBand="0" w:evenHBand="0" w:firstRowFirstColumn="0" w:firstRowLastColumn="0" w:lastRowFirstColumn="0" w:lastRowLastColumn="0"/>
            <w:tcW w:w="2520" w:type="dxa"/>
          </w:tcPr>
          <w:p w14:paraId="0B1DA5E9" w14:textId="77777777" w:rsidR="0099415A" w:rsidRPr="00E60CB2" w:rsidRDefault="0099415A" w:rsidP="0099415A">
            <w:pPr>
              <w:rPr>
                <w:szCs w:val="20"/>
              </w:rPr>
            </w:pPr>
            <w:proofErr w:type="spellStart"/>
            <w:r w:rsidRPr="00E60CB2">
              <w:rPr>
                <w:szCs w:val="20"/>
              </w:rPr>
              <w:t>Sikap</w:t>
            </w:r>
            <w:proofErr w:type="spellEnd"/>
          </w:p>
        </w:tc>
        <w:tc>
          <w:tcPr>
            <w:tcW w:w="2160" w:type="dxa"/>
          </w:tcPr>
          <w:p w14:paraId="0B7280BD" w14:textId="77777777" w:rsidR="0099415A" w:rsidRPr="00E60CB2" w:rsidRDefault="0099415A" w:rsidP="0099415A">
            <w:pPr>
              <w:jc w:val="center"/>
              <w:cnfStyle w:val="000000000000" w:firstRow="0" w:lastRow="0" w:firstColumn="0" w:lastColumn="0" w:oddVBand="0" w:evenVBand="0" w:oddHBand="0" w:evenHBand="0" w:firstRowFirstColumn="0" w:firstRowLastColumn="0" w:lastRowFirstColumn="0" w:lastRowLastColumn="0"/>
              <w:rPr>
                <w:szCs w:val="20"/>
              </w:rPr>
            </w:pPr>
            <w:r w:rsidRPr="00E60CB2">
              <w:rPr>
                <w:szCs w:val="20"/>
              </w:rPr>
              <w:t>3,637</w:t>
            </w:r>
          </w:p>
        </w:tc>
        <w:tc>
          <w:tcPr>
            <w:tcW w:w="2160" w:type="dxa"/>
          </w:tcPr>
          <w:p w14:paraId="42C182C4" w14:textId="77777777" w:rsidR="0099415A" w:rsidRPr="00E60CB2" w:rsidRDefault="0099415A" w:rsidP="0099415A">
            <w:pPr>
              <w:jc w:val="center"/>
              <w:cnfStyle w:val="000000000000" w:firstRow="0" w:lastRow="0" w:firstColumn="0" w:lastColumn="0" w:oddVBand="0" w:evenVBand="0" w:oddHBand="0" w:evenHBand="0" w:firstRowFirstColumn="0" w:firstRowLastColumn="0" w:lastRowFirstColumn="0" w:lastRowLastColumn="0"/>
              <w:rPr>
                <w:szCs w:val="20"/>
              </w:rPr>
            </w:pPr>
            <w:r w:rsidRPr="00E60CB2">
              <w:rPr>
                <w:szCs w:val="20"/>
              </w:rPr>
              <w:t>1,654–7,997</w:t>
            </w:r>
          </w:p>
        </w:tc>
        <w:tc>
          <w:tcPr>
            <w:tcW w:w="2160" w:type="dxa"/>
          </w:tcPr>
          <w:p w14:paraId="14C26436" w14:textId="77777777" w:rsidR="0099415A" w:rsidRPr="00E60CB2" w:rsidRDefault="0099415A" w:rsidP="0099415A">
            <w:pPr>
              <w:jc w:val="center"/>
              <w:cnfStyle w:val="000000000000" w:firstRow="0" w:lastRow="0" w:firstColumn="0" w:lastColumn="0" w:oddVBand="0" w:evenVBand="0" w:oddHBand="0" w:evenHBand="0" w:firstRowFirstColumn="0" w:firstRowLastColumn="0" w:lastRowFirstColumn="0" w:lastRowLastColumn="0"/>
              <w:rPr>
                <w:szCs w:val="20"/>
              </w:rPr>
            </w:pPr>
            <w:r w:rsidRPr="00E60CB2">
              <w:rPr>
                <w:szCs w:val="20"/>
              </w:rPr>
              <w:t>0,002</w:t>
            </w:r>
          </w:p>
        </w:tc>
      </w:tr>
      <w:tr w:rsidR="0099415A" w:rsidRPr="00E60CB2" w14:paraId="5D5228C5" w14:textId="77777777" w:rsidTr="004E03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32F1928" w14:textId="77777777" w:rsidR="0099415A" w:rsidRPr="00E60CB2" w:rsidRDefault="0099415A" w:rsidP="0099415A">
            <w:pPr>
              <w:rPr>
                <w:szCs w:val="20"/>
              </w:rPr>
            </w:pPr>
            <w:proofErr w:type="spellStart"/>
            <w:r w:rsidRPr="00E60CB2">
              <w:rPr>
                <w:szCs w:val="20"/>
              </w:rPr>
              <w:t>Dukungan</w:t>
            </w:r>
            <w:proofErr w:type="spellEnd"/>
            <w:r w:rsidRPr="00E60CB2">
              <w:rPr>
                <w:szCs w:val="20"/>
              </w:rPr>
              <w:t xml:space="preserve"> </w:t>
            </w:r>
            <w:proofErr w:type="spellStart"/>
            <w:r w:rsidRPr="00E60CB2">
              <w:rPr>
                <w:szCs w:val="20"/>
              </w:rPr>
              <w:t>keluarga</w:t>
            </w:r>
            <w:proofErr w:type="spellEnd"/>
          </w:p>
        </w:tc>
        <w:tc>
          <w:tcPr>
            <w:tcW w:w="2160" w:type="dxa"/>
          </w:tcPr>
          <w:p w14:paraId="70E50AAA" w14:textId="77777777" w:rsidR="0099415A" w:rsidRPr="00E60CB2" w:rsidRDefault="0099415A" w:rsidP="0099415A">
            <w:pPr>
              <w:jc w:val="center"/>
              <w:cnfStyle w:val="000000100000" w:firstRow="0" w:lastRow="0" w:firstColumn="0" w:lastColumn="0" w:oddVBand="0" w:evenVBand="0" w:oddHBand="1" w:evenHBand="0" w:firstRowFirstColumn="0" w:firstRowLastColumn="0" w:lastRowFirstColumn="0" w:lastRowLastColumn="0"/>
              <w:rPr>
                <w:szCs w:val="20"/>
              </w:rPr>
            </w:pPr>
            <w:r w:rsidRPr="00E60CB2">
              <w:rPr>
                <w:szCs w:val="20"/>
              </w:rPr>
              <w:t>5,197</w:t>
            </w:r>
          </w:p>
        </w:tc>
        <w:tc>
          <w:tcPr>
            <w:tcW w:w="2160" w:type="dxa"/>
          </w:tcPr>
          <w:p w14:paraId="1DD72029" w14:textId="77777777" w:rsidR="0099415A" w:rsidRPr="00E60CB2" w:rsidRDefault="0099415A" w:rsidP="0099415A">
            <w:pPr>
              <w:jc w:val="center"/>
              <w:cnfStyle w:val="000000100000" w:firstRow="0" w:lastRow="0" w:firstColumn="0" w:lastColumn="0" w:oddVBand="0" w:evenVBand="0" w:oddHBand="1" w:evenHBand="0" w:firstRowFirstColumn="0" w:firstRowLastColumn="0" w:lastRowFirstColumn="0" w:lastRowLastColumn="0"/>
              <w:rPr>
                <w:szCs w:val="20"/>
              </w:rPr>
            </w:pPr>
            <w:r w:rsidRPr="00E60CB2">
              <w:rPr>
                <w:szCs w:val="20"/>
              </w:rPr>
              <w:t>2,484–10,872</w:t>
            </w:r>
          </w:p>
        </w:tc>
        <w:tc>
          <w:tcPr>
            <w:tcW w:w="2160" w:type="dxa"/>
          </w:tcPr>
          <w:p w14:paraId="60F976DF" w14:textId="77777777" w:rsidR="0099415A" w:rsidRPr="00E60CB2" w:rsidRDefault="0099415A" w:rsidP="0099415A">
            <w:pPr>
              <w:jc w:val="center"/>
              <w:cnfStyle w:val="000000100000" w:firstRow="0" w:lastRow="0" w:firstColumn="0" w:lastColumn="0" w:oddVBand="0" w:evenVBand="0" w:oddHBand="1" w:evenHBand="0" w:firstRowFirstColumn="0" w:firstRowLastColumn="0" w:lastRowFirstColumn="0" w:lastRowLastColumn="0"/>
              <w:rPr>
                <w:szCs w:val="20"/>
              </w:rPr>
            </w:pPr>
            <w:r w:rsidRPr="00E60CB2">
              <w:rPr>
                <w:szCs w:val="20"/>
              </w:rPr>
              <w:t>0,000</w:t>
            </w:r>
          </w:p>
        </w:tc>
      </w:tr>
    </w:tbl>
    <w:p w14:paraId="5F00679C" w14:textId="77777777" w:rsidR="0099415A" w:rsidRDefault="0099415A" w:rsidP="0099415A">
      <w:pPr>
        <w:spacing w:after="0" w:line="276" w:lineRule="auto"/>
        <w:rPr>
          <w:rFonts w:ascii="Times New Roman" w:eastAsia="Times New Roman" w:hAnsi="Times New Roman" w:cs="Times New Roman"/>
          <w:b/>
          <w:bCs/>
          <w:sz w:val="24"/>
          <w:szCs w:val="24"/>
          <w:lang w:val="fi-FI"/>
        </w:rPr>
      </w:pPr>
    </w:p>
    <w:p w14:paraId="48B780CD" w14:textId="799C14B4" w:rsidR="0099415A" w:rsidRDefault="0099415A" w:rsidP="0099415A">
      <w:pPr>
        <w:spacing w:after="0" w:line="276" w:lineRule="auto"/>
        <w:jc w:val="both"/>
        <w:rPr>
          <w:rFonts w:ascii="Times New Roman" w:eastAsia="Times New Roman" w:hAnsi="Times New Roman" w:cs="Times New Roman"/>
          <w:sz w:val="24"/>
          <w:szCs w:val="24"/>
          <w:lang w:val="fi-FI"/>
        </w:rPr>
      </w:pPr>
      <w:r w:rsidRPr="0099415A">
        <w:rPr>
          <w:rFonts w:ascii="Times New Roman" w:eastAsia="Times New Roman" w:hAnsi="Times New Roman" w:cs="Times New Roman"/>
          <w:sz w:val="24"/>
          <w:szCs w:val="24"/>
          <w:lang w:val="fi-FI"/>
        </w:rPr>
        <w:t>Temuan memperlihatkan faktor predisposisi (pengetahuan, sikap), enabling (transportasi/akses dan dukungan tenaga kesehatan), serta reinforcing (dukungan keluarga) berasosiasi dengan keikutsertaan Non PBI. Sikap dan dukungan keluarga merupakan faktor dominan. Hasil ini selaras dengan laporan sebelumnya bahwa sikap positif meningkatkan perilaku pencarian layanan dan kepesertaan JKN, sementara dukungan keluarga memperkuat keputusan berpartisipasi.</w:t>
      </w:r>
      <w:r>
        <w:rPr>
          <w:rFonts w:ascii="Times New Roman" w:eastAsia="Times New Roman" w:hAnsi="Times New Roman" w:cs="Times New Roman"/>
          <w:sz w:val="24"/>
          <w:szCs w:val="24"/>
          <w:lang w:val="fi-FI"/>
        </w:rPr>
        <w:t xml:space="preserve"> </w:t>
      </w:r>
      <w:r w:rsidRPr="0099415A">
        <w:rPr>
          <w:rFonts w:ascii="Times New Roman" w:eastAsia="Times New Roman" w:hAnsi="Times New Roman" w:cs="Times New Roman"/>
          <w:sz w:val="24"/>
          <w:szCs w:val="24"/>
          <w:lang w:val="fi-FI"/>
        </w:rPr>
        <w:t>Temuan tentang pengetahuan juga konsisten: pemahaman manfaat/iuran mendorong pendaftaran.</w:t>
      </w:r>
      <w:r>
        <w:rPr>
          <w:rFonts w:ascii="Times New Roman" w:eastAsia="Times New Roman" w:hAnsi="Times New Roman" w:cs="Times New Roman"/>
          <w:sz w:val="24"/>
          <w:szCs w:val="24"/>
          <w:lang w:val="fi-FI"/>
        </w:rPr>
        <w:t xml:space="preserve"> </w:t>
      </w:r>
      <w:r w:rsidRPr="0099415A">
        <w:rPr>
          <w:rFonts w:ascii="Times New Roman" w:eastAsia="Times New Roman" w:hAnsi="Times New Roman" w:cs="Times New Roman"/>
          <w:sz w:val="24"/>
          <w:szCs w:val="24"/>
          <w:lang w:val="fi-FI"/>
        </w:rPr>
        <w:t>Sisi enabling menunjukkan bahwa akses yang lebih baik dan interaksi positif dengan petugas kesehatan berperan penting, sejalan dengan bukti determinan layanan dan akses di Indonesia.</w:t>
      </w:r>
      <w:r>
        <w:rPr>
          <w:rFonts w:ascii="Times New Roman" w:eastAsia="Times New Roman" w:hAnsi="Times New Roman" w:cs="Times New Roman"/>
          <w:sz w:val="24"/>
          <w:szCs w:val="24"/>
          <w:lang w:val="fi-FI"/>
        </w:rPr>
        <w:t xml:space="preserve"> </w:t>
      </w:r>
      <w:r w:rsidRPr="0099415A">
        <w:rPr>
          <w:rFonts w:ascii="Times New Roman" w:eastAsia="Times New Roman" w:hAnsi="Times New Roman" w:cs="Times New Roman"/>
          <w:sz w:val="24"/>
          <w:szCs w:val="24"/>
          <w:lang w:val="fi-FI"/>
        </w:rPr>
        <w:t>Implikasi kebijakan: penguatan komunikasi perubahan perilaku (behavior change communication), pelibatan keluarga dalam sosialisasi, serta peningkatan kualitas layanan dan responsivitas petugas di lini depan.</w:t>
      </w:r>
    </w:p>
    <w:p w14:paraId="03FE430E" w14:textId="77777777" w:rsidR="0099415A" w:rsidRPr="0099415A" w:rsidRDefault="0099415A" w:rsidP="0099415A">
      <w:pPr>
        <w:spacing w:after="0" w:line="276" w:lineRule="auto"/>
        <w:jc w:val="both"/>
        <w:rPr>
          <w:rFonts w:ascii="Times New Roman" w:eastAsia="Times New Roman" w:hAnsi="Times New Roman" w:cs="Times New Roman"/>
          <w:sz w:val="24"/>
          <w:szCs w:val="24"/>
          <w:lang w:val="fi-FI"/>
        </w:rPr>
      </w:pPr>
    </w:p>
    <w:p w14:paraId="2C464277" w14:textId="77777777" w:rsidR="00B25DF8" w:rsidRPr="0099415A" w:rsidRDefault="00B100F4" w:rsidP="0099415A">
      <w:pPr>
        <w:spacing w:after="0" w:line="276" w:lineRule="auto"/>
        <w:jc w:val="both"/>
        <w:rPr>
          <w:rFonts w:ascii="Times New Roman" w:eastAsia="Times New Roman" w:hAnsi="Times New Roman" w:cs="Times New Roman"/>
          <w:b/>
          <w:sz w:val="24"/>
          <w:szCs w:val="24"/>
          <w:lang w:val="fi-FI"/>
        </w:rPr>
      </w:pPr>
      <w:r w:rsidRPr="0099415A">
        <w:rPr>
          <w:rFonts w:ascii="Times New Roman" w:eastAsia="Times New Roman" w:hAnsi="Times New Roman" w:cs="Times New Roman"/>
          <w:b/>
          <w:sz w:val="24"/>
          <w:szCs w:val="24"/>
          <w:lang w:val="fi-FI"/>
        </w:rPr>
        <w:t>CONCLUSION</w:t>
      </w:r>
    </w:p>
    <w:p w14:paraId="5BA3238A" w14:textId="1C974C89" w:rsidR="0099415A" w:rsidRPr="0099415A" w:rsidRDefault="0099415A" w:rsidP="0099415A">
      <w:pPr>
        <w:spacing w:after="0" w:line="276" w:lineRule="auto"/>
        <w:ind w:firstLine="720"/>
        <w:jc w:val="both"/>
        <w:rPr>
          <w:rFonts w:ascii="Times New Roman" w:eastAsia="Times New Roman" w:hAnsi="Times New Roman" w:cs="Times New Roman"/>
          <w:sz w:val="24"/>
          <w:szCs w:val="24"/>
          <w:lang w:val="fi-FI"/>
        </w:rPr>
      </w:pPr>
      <w:r w:rsidRPr="0099415A">
        <w:rPr>
          <w:rFonts w:ascii="Times New Roman" w:eastAsia="Times New Roman" w:hAnsi="Times New Roman" w:cs="Times New Roman"/>
          <w:sz w:val="24"/>
          <w:szCs w:val="24"/>
          <w:lang w:val="fi-FI"/>
        </w:rPr>
        <w:t>Variabel pengetahuan, sikap, dukungan tenaga kesehatan, dan dukungan keluarga berhubungan signifikan dengan keikutsertaan Non PBI; transportasi/akses layanan juga signifikan dalam model akhir. Faktor dominan adalah sikap dan dukungan keluarga. Intervensi prioritas: edukasi publik, kampanye berbasis keluarga, dan penguatan peran tenaga kesehatan dalam sosialisasi</w:t>
      </w:r>
      <w:r>
        <w:rPr>
          <w:rFonts w:ascii="Times New Roman" w:eastAsia="Times New Roman" w:hAnsi="Times New Roman" w:cs="Times New Roman"/>
          <w:sz w:val="24"/>
          <w:szCs w:val="24"/>
          <w:lang w:val="fi-FI"/>
        </w:rPr>
        <w:t xml:space="preserve">. </w:t>
      </w:r>
    </w:p>
    <w:p w14:paraId="3E8192BE" w14:textId="77777777" w:rsidR="00B25DF8" w:rsidRPr="0099415A" w:rsidRDefault="00B100F4" w:rsidP="0099415A">
      <w:pPr>
        <w:spacing w:after="0" w:line="276" w:lineRule="auto"/>
        <w:jc w:val="both"/>
        <w:rPr>
          <w:rFonts w:ascii="Times New Roman" w:eastAsia="Times New Roman" w:hAnsi="Times New Roman" w:cs="Times New Roman"/>
          <w:lang w:val="fi-FI"/>
        </w:rPr>
      </w:pPr>
      <w:r w:rsidRPr="0099415A">
        <w:rPr>
          <w:rFonts w:ascii="Times New Roman" w:eastAsia="Times New Roman" w:hAnsi="Times New Roman" w:cs="Times New Roman"/>
          <w:b/>
          <w:sz w:val="24"/>
          <w:szCs w:val="24"/>
          <w:lang w:val="fi-FI"/>
        </w:rPr>
        <w:t>REFERENCES</w:t>
      </w:r>
    </w:p>
    <w:p w14:paraId="2DD7E065" w14:textId="77777777" w:rsidR="0099415A" w:rsidRPr="0099415A" w:rsidRDefault="0099415A" w:rsidP="0099415A">
      <w:pPr>
        <w:spacing w:after="0" w:line="276" w:lineRule="auto"/>
        <w:rPr>
          <w:rFonts w:ascii="Times New Roman" w:eastAsia="Times New Roman" w:hAnsi="Times New Roman" w:cs="Times New Roman"/>
          <w:sz w:val="24"/>
          <w:szCs w:val="24"/>
          <w:lang w:val="fi-FI"/>
        </w:rPr>
      </w:pPr>
      <w:r w:rsidRPr="0099415A">
        <w:rPr>
          <w:rFonts w:ascii="Times New Roman" w:eastAsia="Times New Roman" w:hAnsi="Times New Roman" w:cs="Times New Roman"/>
          <w:sz w:val="24"/>
          <w:szCs w:val="24"/>
          <w:lang w:val="fi-FI"/>
        </w:rPr>
        <w:t>1.</w:t>
      </w:r>
      <w:r w:rsidRPr="0099415A">
        <w:rPr>
          <w:rFonts w:ascii="Times New Roman" w:eastAsia="Times New Roman" w:hAnsi="Times New Roman" w:cs="Times New Roman"/>
          <w:sz w:val="24"/>
          <w:szCs w:val="24"/>
          <w:lang w:val="fi-FI"/>
        </w:rPr>
        <w:tab/>
        <w:t>Notoatmodjo S. Promosi Kesehatan dan Ilmu Perilaku. Jakarta: Rineka Cipta; 2014.</w:t>
      </w:r>
    </w:p>
    <w:p w14:paraId="4DC84ED1" w14:textId="77777777" w:rsidR="0099415A" w:rsidRPr="0099415A" w:rsidRDefault="0099415A" w:rsidP="0099415A">
      <w:pPr>
        <w:spacing w:after="0" w:line="276" w:lineRule="auto"/>
        <w:rPr>
          <w:rFonts w:ascii="Times New Roman" w:eastAsia="Times New Roman" w:hAnsi="Times New Roman" w:cs="Times New Roman"/>
          <w:sz w:val="24"/>
          <w:szCs w:val="24"/>
        </w:rPr>
      </w:pPr>
      <w:r w:rsidRPr="0099415A">
        <w:rPr>
          <w:rFonts w:ascii="Times New Roman" w:eastAsia="Times New Roman" w:hAnsi="Times New Roman" w:cs="Times New Roman"/>
          <w:sz w:val="24"/>
          <w:szCs w:val="24"/>
        </w:rPr>
        <w:t>2.</w:t>
      </w:r>
      <w:r w:rsidRPr="0099415A">
        <w:rPr>
          <w:rFonts w:ascii="Times New Roman" w:eastAsia="Times New Roman" w:hAnsi="Times New Roman" w:cs="Times New Roman"/>
          <w:sz w:val="24"/>
          <w:szCs w:val="24"/>
        </w:rPr>
        <w:tab/>
      </w:r>
      <w:proofErr w:type="spellStart"/>
      <w:r w:rsidRPr="0099415A">
        <w:rPr>
          <w:rFonts w:ascii="Times New Roman" w:eastAsia="Times New Roman" w:hAnsi="Times New Roman" w:cs="Times New Roman"/>
          <w:sz w:val="24"/>
          <w:szCs w:val="24"/>
        </w:rPr>
        <w:t>Laksono</w:t>
      </w:r>
      <w:proofErr w:type="spellEnd"/>
      <w:r w:rsidRPr="0099415A">
        <w:rPr>
          <w:rFonts w:ascii="Times New Roman" w:eastAsia="Times New Roman" w:hAnsi="Times New Roman" w:cs="Times New Roman"/>
          <w:sz w:val="24"/>
          <w:szCs w:val="24"/>
        </w:rPr>
        <w:t xml:space="preserve"> AD, </w:t>
      </w:r>
      <w:proofErr w:type="spellStart"/>
      <w:r w:rsidRPr="0099415A">
        <w:rPr>
          <w:rFonts w:ascii="Times New Roman" w:eastAsia="Times New Roman" w:hAnsi="Times New Roman" w:cs="Times New Roman"/>
          <w:sz w:val="24"/>
          <w:szCs w:val="24"/>
        </w:rPr>
        <w:t>Nantabah</w:t>
      </w:r>
      <w:proofErr w:type="spellEnd"/>
      <w:r w:rsidRPr="0099415A">
        <w:rPr>
          <w:rFonts w:ascii="Times New Roman" w:eastAsia="Times New Roman" w:hAnsi="Times New Roman" w:cs="Times New Roman"/>
          <w:sz w:val="24"/>
          <w:szCs w:val="24"/>
        </w:rPr>
        <w:t xml:space="preserve"> ZK, Wulandari RD. Barriers to expanding National Health Insurance membership in Indonesia. 2022.</w:t>
      </w:r>
    </w:p>
    <w:p w14:paraId="188496BF" w14:textId="77777777" w:rsidR="0099415A" w:rsidRPr="0099415A" w:rsidRDefault="0099415A" w:rsidP="0099415A">
      <w:pPr>
        <w:spacing w:after="0" w:line="276" w:lineRule="auto"/>
        <w:rPr>
          <w:rFonts w:ascii="Times New Roman" w:eastAsia="Times New Roman" w:hAnsi="Times New Roman" w:cs="Times New Roman"/>
          <w:sz w:val="24"/>
          <w:szCs w:val="24"/>
        </w:rPr>
      </w:pPr>
      <w:r w:rsidRPr="0099415A">
        <w:rPr>
          <w:rFonts w:ascii="Times New Roman" w:eastAsia="Times New Roman" w:hAnsi="Times New Roman" w:cs="Times New Roman"/>
          <w:sz w:val="24"/>
          <w:szCs w:val="24"/>
        </w:rPr>
        <w:t>3.</w:t>
      </w:r>
      <w:r w:rsidRPr="0099415A">
        <w:rPr>
          <w:rFonts w:ascii="Times New Roman" w:eastAsia="Times New Roman" w:hAnsi="Times New Roman" w:cs="Times New Roman"/>
          <w:sz w:val="24"/>
          <w:szCs w:val="24"/>
        </w:rPr>
        <w:tab/>
        <w:t>Green LW, Kreuter MW. Health Program Planning: An Educational and Ecological Approach. 4th ed. New York: McGraw-Hill; 2005.</w:t>
      </w:r>
    </w:p>
    <w:p w14:paraId="3197E9AA" w14:textId="77777777" w:rsidR="0099415A" w:rsidRPr="0099415A" w:rsidRDefault="0099415A" w:rsidP="0099415A">
      <w:pPr>
        <w:spacing w:after="0" w:line="276" w:lineRule="auto"/>
        <w:rPr>
          <w:rFonts w:ascii="Times New Roman" w:eastAsia="Times New Roman" w:hAnsi="Times New Roman" w:cs="Times New Roman"/>
          <w:sz w:val="24"/>
          <w:szCs w:val="24"/>
        </w:rPr>
      </w:pPr>
      <w:r w:rsidRPr="0099415A">
        <w:rPr>
          <w:rFonts w:ascii="Times New Roman" w:eastAsia="Times New Roman" w:hAnsi="Times New Roman" w:cs="Times New Roman"/>
          <w:sz w:val="24"/>
          <w:szCs w:val="24"/>
        </w:rPr>
        <w:lastRenderedPageBreak/>
        <w:t>4.</w:t>
      </w:r>
      <w:r w:rsidRPr="0099415A">
        <w:rPr>
          <w:rFonts w:ascii="Times New Roman" w:eastAsia="Times New Roman" w:hAnsi="Times New Roman" w:cs="Times New Roman"/>
          <w:sz w:val="24"/>
          <w:szCs w:val="24"/>
        </w:rPr>
        <w:tab/>
      </w:r>
      <w:proofErr w:type="spellStart"/>
      <w:r w:rsidRPr="0099415A">
        <w:rPr>
          <w:rFonts w:ascii="Times New Roman" w:eastAsia="Times New Roman" w:hAnsi="Times New Roman" w:cs="Times New Roman"/>
          <w:sz w:val="24"/>
          <w:szCs w:val="24"/>
        </w:rPr>
        <w:t>Wahyuningtyas</w:t>
      </w:r>
      <w:proofErr w:type="spellEnd"/>
      <w:r w:rsidRPr="0099415A">
        <w:rPr>
          <w:rFonts w:ascii="Times New Roman" w:eastAsia="Times New Roman" w:hAnsi="Times New Roman" w:cs="Times New Roman"/>
          <w:sz w:val="24"/>
          <w:szCs w:val="24"/>
        </w:rPr>
        <w:t xml:space="preserve"> FA, Rahardjo BB. </w:t>
      </w:r>
      <w:proofErr w:type="spellStart"/>
      <w:r w:rsidRPr="0099415A">
        <w:rPr>
          <w:rFonts w:ascii="Times New Roman" w:eastAsia="Times New Roman" w:hAnsi="Times New Roman" w:cs="Times New Roman"/>
          <w:sz w:val="24"/>
          <w:szCs w:val="24"/>
        </w:rPr>
        <w:t>Rendahnya</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keikutsertaan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masyarakat</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dalam</w:t>
      </w:r>
      <w:proofErr w:type="spellEnd"/>
      <w:r w:rsidRPr="0099415A">
        <w:rPr>
          <w:rFonts w:ascii="Times New Roman" w:eastAsia="Times New Roman" w:hAnsi="Times New Roman" w:cs="Times New Roman"/>
          <w:sz w:val="24"/>
          <w:szCs w:val="24"/>
        </w:rPr>
        <w:t xml:space="preserve"> BPJS </w:t>
      </w:r>
      <w:proofErr w:type="spellStart"/>
      <w:r w:rsidRPr="0099415A">
        <w:rPr>
          <w:rFonts w:ascii="Times New Roman" w:eastAsia="Times New Roman" w:hAnsi="Times New Roman" w:cs="Times New Roman"/>
          <w:sz w:val="24"/>
          <w:szCs w:val="24"/>
        </w:rPr>
        <w:t>Mandiri</w:t>
      </w:r>
      <w:proofErr w:type="spellEnd"/>
      <w:r w:rsidRPr="0099415A">
        <w:rPr>
          <w:rFonts w:ascii="Times New Roman" w:eastAsia="Times New Roman" w:hAnsi="Times New Roman" w:cs="Times New Roman"/>
          <w:sz w:val="24"/>
          <w:szCs w:val="24"/>
        </w:rPr>
        <w:t>. Indonesian Journal of Public Health and Nutrition. 2023;3(2):195–203.</w:t>
      </w:r>
    </w:p>
    <w:p w14:paraId="2BEBF527" w14:textId="77777777" w:rsidR="0099415A" w:rsidRPr="0099415A" w:rsidRDefault="0099415A" w:rsidP="0099415A">
      <w:pPr>
        <w:spacing w:after="0" w:line="276" w:lineRule="auto"/>
        <w:rPr>
          <w:rFonts w:ascii="Times New Roman" w:eastAsia="Times New Roman" w:hAnsi="Times New Roman" w:cs="Times New Roman"/>
          <w:sz w:val="24"/>
          <w:szCs w:val="24"/>
        </w:rPr>
      </w:pPr>
      <w:r w:rsidRPr="0099415A">
        <w:rPr>
          <w:rFonts w:ascii="Times New Roman" w:eastAsia="Times New Roman" w:hAnsi="Times New Roman" w:cs="Times New Roman"/>
          <w:sz w:val="24"/>
          <w:szCs w:val="24"/>
        </w:rPr>
        <w:t>5.</w:t>
      </w:r>
      <w:r w:rsidRPr="0099415A">
        <w:rPr>
          <w:rFonts w:ascii="Times New Roman" w:eastAsia="Times New Roman" w:hAnsi="Times New Roman" w:cs="Times New Roman"/>
          <w:sz w:val="24"/>
          <w:szCs w:val="24"/>
        </w:rPr>
        <w:tab/>
        <w:t xml:space="preserve">Laila J, Ainy A, </w:t>
      </w:r>
      <w:proofErr w:type="spellStart"/>
      <w:r w:rsidRPr="0099415A">
        <w:rPr>
          <w:rFonts w:ascii="Times New Roman" w:eastAsia="Times New Roman" w:hAnsi="Times New Roman" w:cs="Times New Roman"/>
          <w:sz w:val="24"/>
          <w:szCs w:val="24"/>
        </w:rPr>
        <w:t>Safriantini</w:t>
      </w:r>
      <w:proofErr w:type="spellEnd"/>
      <w:r w:rsidRPr="0099415A">
        <w:rPr>
          <w:rFonts w:ascii="Times New Roman" w:eastAsia="Times New Roman" w:hAnsi="Times New Roman" w:cs="Times New Roman"/>
          <w:sz w:val="24"/>
          <w:szCs w:val="24"/>
        </w:rPr>
        <w:t xml:space="preserve"> D. </w:t>
      </w:r>
      <w:proofErr w:type="spellStart"/>
      <w:r w:rsidRPr="0099415A">
        <w:rPr>
          <w:rFonts w:ascii="Times New Roman" w:eastAsia="Times New Roman" w:hAnsi="Times New Roman" w:cs="Times New Roman"/>
          <w:sz w:val="24"/>
          <w:szCs w:val="24"/>
        </w:rPr>
        <w:t>Determinan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keputusan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pekerja</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mandiri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menjadi</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peserta</w:t>
      </w:r>
      <w:proofErr w:type="spellEnd"/>
      <w:r w:rsidRPr="0099415A">
        <w:rPr>
          <w:rFonts w:ascii="Times New Roman" w:eastAsia="Times New Roman" w:hAnsi="Times New Roman" w:cs="Times New Roman"/>
          <w:sz w:val="24"/>
          <w:szCs w:val="24"/>
        </w:rPr>
        <w:t xml:space="preserve"> JKN. Dis Prev Public Health J. 2020;14(1):21–29.</w:t>
      </w:r>
    </w:p>
    <w:p w14:paraId="16289D35" w14:textId="77777777" w:rsidR="0099415A" w:rsidRPr="0099415A" w:rsidRDefault="0099415A" w:rsidP="0099415A">
      <w:pPr>
        <w:spacing w:after="0" w:line="276" w:lineRule="auto"/>
        <w:rPr>
          <w:rFonts w:ascii="Times New Roman" w:eastAsia="Times New Roman" w:hAnsi="Times New Roman" w:cs="Times New Roman"/>
          <w:sz w:val="24"/>
          <w:szCs w:val="24"/>
        </w:rPr>
      </w:pPr>
      <w:r w:rsidRPr="0099415A">
        <w:rPr>
          <w:rFonts w:ascii="Times New Roman" w:eastAsia="Times New Roman" w:hAnsi="Times New Roman" w:cs="Times New Roman"/>
          <w:sz w:val="24"/>
          <w:szCs w:val="24"/>
        </w:rPr>
        <w:t>6.</w:t>
      </w:r>
      <w:r w:rsidRPr="0099415A">
        <w:rPr>
          <w:rFonts w:ascii="Times New Roman" w:eastAsia="Times New Roman" w:hAnsi="Times New Roman" w:cs="Times New Roman"/>
          <w:sz w:val="24"/>
          <w:szCs w:val="24"/>
        </w:rPr>
        <w:tab/>
        <w:t xml:space="preserve">Cahyadi R, </w:t>
      </w:r>
      <w:proofErr w:type="spellStart"/>
      <w:r w:rsidRPr="0099415A">
        <w:rPr>
          <w:rFonts w:ascii="Times New Roman" w:eastAsia="Times New Roman" w:hAnsi="Times New Roman" w:cs="Times New Roman"/>
          <w:sz w:val="24"/>
          <w:szCs w:val="24"/>
        </w:rPr>
        <w:t>Ismainar</w:t>
      </w:r>
      <w:proofErr w:type="spellEnd"/>
      <w:r w:rsidRPr="0099415A">
        <w:rPr>
          <w:rFonts w:ascii="Times New Roman" w:eastAsia="Times New Roman" w:hAnsi="Times New Roman" w:cs="Times New Roman"/>
          <w:sz w:val="24"/>
          <w:szCs w:val="24"/>
        </w:rPr>
        <w:t xml:space="preserve"> H, Hamid A. Faktor yang </w:t>
      </w:r>
      <w:proofErr w:type="spellStart"/>
      <w:r w:rsidRPr="0099415A">
        <w:rPr>
          <w:rFonts w:ascii="Times New Roman" w:eastAsia="Times New Roman" w:hAnsi="Times New Roman" w:cs="Times New Roman"/>
          <w:sz w:val="24"/>
          <w:szCs w:val="24"/>
        </w:rPr>
        <w:t>berhubungan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dengan</w:t>
      </w:r>
      <w:proofErr w:type="spellEnd"/>
      <w:r w:rsidRPr="0099415A">
        <w:rPr>
          <w:rFonts w:ascii="Times New Roman" w:eastAsia="Times New Roman" w:hAnsi="Times New Roman" w:cs="Times New Roman"/>
          <w:sz w:val="24"/>
          <w:szCs w:val="24"/>
        </w:rPr>
        <w:t xml:space="preserve"> </w:t>
      </w:r>
      <w:proofErr w:type="spellStart"/>
      <w:r w:rsidRPr="0099415A">
        <w:rPr>
          <w:rFonts w:ascii="Times New Roman" w:eastAsia="Times New Roman" w:hAnsi="Times New Roman" w:cs="Times New Roman"/>
          <w:sz w:val="24"/>
          <w:szCs w:val="24"/>
        </w:rPr>
        <w:t>keikutsertaan</w:t>
      </w:r>
      <w:proofErr w:type="spellEnd"/>
      <w:r w:rsidRPr="0099415A">
        <w:rPr>
          <w:rFonts w:ascii="Times New Roman" w:eastAsia="Times New Roman" w:hAnsi="Times New Roman" w:cs="Times New Roman"/>
          <w:sz w:val="24"/>
          <w:szCs w:val="24"/>
        </w:rPr>
        <w:t xml:space="preserve"> pada Program JKN. J Kesehatan Tambusai. 2024;5(1):1858–1867.</w:t>
      </w:r>
    </w:p>
    <w:p w14:paraId="02CC9DFE" w14:textId="2F23AB09" w:rsidR="00B25DF8" w:rsidRPr="00322F61" w:rsidRDefault="0099415A" w:rsidP="0099415A">
      <w:pPr>
        <w:spacing w:after="0" w:line="276" w:lineRule="auto"/>
        <w:rPr>
          <w:rFonts w:ascii="Times New Roman" w:eastAsia="Times New Roman" w:hAnsi="Times New Roman" w:cs="Times New Roman"/>
          <w:sz w:val="24"/>
          <w:szCs w:val="24"/>
        </w:rPr>
      </w:pPr>
      <w:r w:rsidRPr="0099415A">
        <w:rPr>
          <w:rFonts w:ascii="Times New Roman" w:eastAsia="Times New Roman" w:hAnsi="Times New Roman" w:cs="Times New Roman"/>
          <w:sz w:val="24"/>
          <w:szCs w:val="24"/>
        </w:rPr>
        <w:t xml:space="preserve">Dewan </w:t>
      </w:r>
      <w:proofErr w:type="spellStart"/>
      <w:r w:rsidRPr="0099415A">
        <w:rPr>
          <w:rFonts w:ascii="Times New Roman" w:eastAsia="Times New Roman" w:hAnsi="Times New Roman" w:cs="Times New Roman"/>
          <w:sz w:val="24"/>
          <w:szCs w:val="24"/>
        </w:rPr>
        <w:t>Jaminan</w:t>
      </w:r>
      <w:proofErr w:type="spellEnd"/>
      <w:r w:rsidRPr="0099415A">
        <w:rPr>
          <w:rFonts w:ascii="Times New Roman" w:eastAsia="Times New Roman" w:hAnsi="Times New Roman" w:cs="Times New Roman"/>
          <w:sz w:val="24"/>
          <w:szCs w:val="24"/>
        </w:rPr>
        <w:t xml:space="preserve"> Sosial Nasional (DJSN). </w:t>
      </w:r>
      <w:proofErr w:type="spellStart"/>
      <w:r w:rsidRPr="0099415A">
        <w:rPr>
          <w:rFonts w:ascii="Times New Roman" w:eastAsia="Times New Roman" w:hAnsi="Times New Roman" w:cs="Times New Roman"/>
          <w:sz w:val="24"/>
          <w:szCs w:val="24"/>
        </w:rPr>
        <w:t>Sistem</w:t>
      </w:r>
      <w:proofErr w:type="spellEnd"/>
      <w:r w:rsidRPr="0099415A">
        <w:rPr>
          <w:rFonts w:ascii="Times New Roman" w:eastAsia="Times New Roman" w:hAnsi="Times New Roman" w:cs="Times New Roman"/>
          <w:sz w:val="24"/>
          <w:szCs w:val="24"/>
        </w:rPr>
        <w:t xml:space="preserve"> Monitoring </w:t>
      </w:r>
      <w:proofErr w:type="spellStart"/>
      <w:r w:rsidRPr="0099415A">
        <w:rPr>
          <w:rFonts w:ascii="Times New Roman" w:eastAsia="Times New Roman" w:hAnsi="Times New Roman" w:cs="Times New Roman"/>
          <w:sz w:val="24"/>
          <w:szCs w:val="24"/>
        </w:rPr>
        <w:t>Terpadu</w:t>
      </w:r>
      <w:proofErr w:type="spellEnd"/>
      <w:r w:rsidRPr="0099415A">
        <w:rPr>
          <w:rFonts w:ascii="Times New Roman" w:eastAsia="Times New Roman" w:hAnsi="Times New Roman" w:cs="Times New Roman"/>
          <w:sz w:val="24"/>
          <w:szCs w:val="24"/>
        </w:rPr>
        <w:t xml:space="preserve"> – </w:t>
      </w:r>
      <w:proofErr w:type="spellStart"/>
      <w:r w:rsidRPr="0099415A">
        <w:rPr>
          <w:rFonts w:ascii="Times New Roman" w:eastAsia="Times New Roman" w:hAnsi="Times New Roman" w:cs="Times New Roman"/>
          <w:sz w:val="24"/>
          <w:szCs w:val="24"/>
        </w:rPr>
        <w:t>Cakupan</w:t>
      </w:r>
      <w:proofErr w:type="spellEnd"/>
      <w:r w:rsidRPr="0099415A">
        <w:rPr>
          <w:rFonts w:ascii="Times New Roman" w:eastAsia="Times New Roman" w:hAnsi="Times New Roman" w:cs="Times New Roman"/>
          <w:sz w:val="24"/>
          <w:szCs w:val="24"/>
        </w:rPr>
        <w:t xml:space="preserve"> JKN. 2023.</w:t>
      </w:r>
      <w:r w:rsidRPr="00322F61">
        <w:rPr>
          <w:rFonts w:ascii="Times New Roman" w:eastAsia="Times New Roman" w:hAnsi="Times New Roman" w:cs="Times New Roman"/>
          <w:sz w:val="24"/>
          <w:szCs w:val="24"/>
        </w:rPr>
        <w:t xml:space="preserve"> </w:t>
      </w:r>
    </w:p>
    <w:sectPr w:rsidR="00B25DF8" w:rsidRPr="00322F61">
      <w:headerReference w:type="default" r:id="rId9"/>
      <w:footerReference w:type="default" r:id="rId10"/>
      <w:headerReference w:type="first" r:id="rId11"/>
      <w:footerReference w:type="first" r:id="rId12"/>
      <w:pgSz w:w="11907" w:h="16839"/>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AE42" w14:textId="77777777" w:rsidR="000D29BC" w:rsidRDefault="000D29BC">
      <w:pPr>
        <w:spacing w:after="0" w:line="240" w:lineRule="auto"/>
      </w:pPr>
      <w:r>
        <w:separator/>
      </w:r>
    </w:p>
  </w:endnote>
  <w:endnote w:type="continuationSeparator" w:id="0">
    <w:p w14:paraId="55DB6157" w14:textId="77777777" w:rsidR="000D29BC" w:rsidRDefault="000D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724C" w14:textId="77777777" w:rsidR="00B25DF8" w:rsidRDefault="00B100F4">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sz w:val="20"/>
        <w:szCs w:val="20"/>
      </w:rPr>
    </w:pP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166DCC">
      <w:rPr>
        <w:rFonts w:ascii="Georgia" w:eastAsia="Georgia" w:hAnsi="Georgia" w:cs="Georgia"/>
        <w:noProof/>
        <w:color w:val="000000"/>
        <w:sz w:val="20"/>
        <w:szCs w:val="20"/>
      </w:rPr>
      <w:t>2</w:t>
    </w:r>
    <w:r>
      <w:rPr>
        <w:rFonts w:ascii="Georgia" w:eastAsia="Georgia" w:hAnsi="Georgia" w:cs="Georgia"/>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581B" w14:textId="0C3580FA" w:rsidR="00B25DF8" w:rsidRDefault="00B100F4">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sz w:val="20"/>
        <w:szCs w:val="20"/>
      </w:rPr>
    </w:pPr>
    <w:r>
      <w:rPr>
        <w:rFonts w:ascii="Georgia" w:eastAsia="Georgia" w:hAnsi="Georgia" w:cs="Georgia"/>
        <w:color w:val="000000"/>
        <w:sz w:val="20"/>
        <w:szCs w:val="20"/>
      </w:rPr>
      <w:tab/>
    </w:r>
    <w:proofErr w:type="spellStart"/>
    <w:r w:rsidR="00B67BF1" w:rsidRPr="00A005BE">
      <w:rPr>
        <w:rFonts w:ascii="Georgia" w:eastAsia="Georgia" w:hAnsi="Georgia" w:cs="Georgia"/>
        <w:color w:val="000000"/>
        <w:sz w:val="20"/>
        <w:szCs w:val="20"/>
      </w:rPr>
      <w:t>Jurnal</w:t>
    </w:r>
    <w:proofErr w:type="spellEnd"/>
    <w:r w:rsidR="00B67BF1" w:rsidRPr="00A005BE">
      <w:rPr>
        <w:rFonts w:ascii="Georgia" w:eastAsia="Georgia" w:hAnsi="Georgia" w:cs="Georgia"/>
        <w:color w:val="000000"/>
        <w:sz w:val="20"/>
        <w:szCs w:val="20"/>
      </w:rPr>
      <w:t xml:space="preserve"> </w:t>
    </w:r>
    <w:proofErr w:type="spellStart"/>
    <w:r w:rsidR="00B67BF1" w:rsidRPr="00A005BE">
      <w:rPr>
        <w:rFonts w:ascii="Georgia" w:eastAsia="Georgia" w:hAnsi="Georgia" w:cs="Georgia"/>
        <w:color w:val="000000"/>
        <w:sz w:val="20"/>
        <w:szCs w:val="20"/>
      </w:rPr>
      <w:t>Impresi</w:t>
    </w:r>
    <w:proofErr w:type="spellEnd"/>
    <w:r w:rsidR="00B67BF1" w:rsidRPr="00A005BE">
      <w:rPr>
        <w:rFonts w:ascii="Georgia" w:eastAsia="Georgia" w:hAnsi="Georgia" w:cs="Georgia"/>
        <w:color w:val="000000"/>
        <w:sz w:val="20"/>
        <w:szCs w:val="20"/>
      </w:rPr>
      <w:t xml:space="preserve"> Indonesia, Vol. </w:t>
    </w:r>
    <w:r w:rsidR="00B67BF1">
      <w:rPr>
        <w:rFonts w:ascii="Georgia" w:eastAsia="Georgia" w:hAnsi="Georgia" w:cs="Georgia"/>
        <w:color w:val="000000"/>
        <w:sz w:val="20"/>
        <w:szCs w:val="20"/>
      </w:rPr>
      <w:t>7</w:t>
    </w:r>
    <w:r w:rsidR="00B67BF1" w:rsidRPr="00A005BE">
      <w:rPr>
        <w:rFonts w:ascii="Georgia" w:eastAsia="Georgia" w:hAnsi="Georgia" w:cs="Georgia"/>
        <w:color w:val="000000"/>
        <w:sz w:val="20"/>
        <w:szCs w:val="20"/>
      </w:rPr>
      <w:t xml:space="preserve">, No. </w:t>
    </w:r>
    <w:r w:rsidR="00B67BF1">
      <w:rPr>
        <w:rFonts w:ascii="Georgia" w:eastAsia="Georgia" w:hAnsi="Georgia" w:cs="Georgia"/>
        <w:color w:val="000000"/>
        <w:sz w:val="20"/>
        <w:szCs w:val="20"/>
      </w:rPr>
      <w:t>9</w:t>
    </w:r>
    <w:r w:rsidR="00B67BF1" w:rsidRPr="00A005BE">
      <w:rPr>
        <w:rFonts w:ascii="Georgia" w:eastAsia="Georgia" w:hAnsi="Georgia" w:cs="Georgia"/>
        <w:color w:val="000000"/>
        <w:sz w:val="20"/>
        <w:szCs w:val="20"/>
      </w:rPr>
      <w:t xml:space="preserve">, </w:t>
    </w:r>
    <w:r w:rsidR="00B67BF1">
      <w:rPr>
        <w:rFonts w:ascii="Georgia" w:eastAsia="Georgia" w:hAnsi="Georgia" w:cs="Georgia"/>
        <w:color w:val="000000"/>
        <w:sz w:val="20"/>
        <w:szCs w:val="20"/>
      </w:rPr>
      <w:t xml:space="preserve">September </w:t>
    </w:r>
    <w:r w:rsidR="00B67BF1" w:rsidRPr="00A005BE">
      <w:rPr>
        <w:rFonts w:ascii="Georgia" w:eastAsia="Georgia" w:hAnsi="Georgia" w:cs="Georgia"/>
        <w:color w:val="000000"/>
        <w:sz w:val="20"/>
        <w:szCs w:val="20"/>
      </w:rPr>
      <w:t>2025</w:t>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166DCC">
      <w:rPr>
        <w:rFonts w:ascii="Georgia" w:eastAsia="Georgia" w:hAnsi="Georgia" w:cs="Georgia"/>
        <w:noProof/>
        <w:color w:val="000000"/>
        <w:sz w:val="20"/>
        <w:szCs w:val="20"/>
      </w:rPr>
      <w:t>1</w:t>
    </w:r>
    <w:r>
      <w:rPr>
        <w:rFonts w:ascii="Georgia" w:eastAsia="Georgia" w:hAnsi="Georgia" w:cs="Georg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CD4B" w14:textId="77777777" w:rsidR="000D29BC" w:rsidRDefault="000D29BC">
      <w:pPr>
        <w:spacing w:after="0" w:line="240" w:lineRule="auto"/>
      </w:pPr>
      <w:r>
        <w:separator/>
      </w:r>
    </w:p>
  </w:footnote>
  <w:footnote w:type="continuationSeparator" w:id="0">
    <w:p w14:paraId="25C50C3E" w14:textId="77777777" w:rsidR="000D29BC" w:rsidRDefault="000D2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D2F2" w14:textId="77777777" w:rsidR="00B25DF8" w:rsidRPr="00166DCC" w:rsidRDefault="00B100F4">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sz w:val="20"/>
        <w:szCs w:val="20"/>
        <w:lang w:val="fi-FI"/>
      </w:rPr>
    </w:pPr>
    <w:r w:rsidRPr="00166DCC">
      <w:rPr>
        <w:rFonts w:ascii="Georgia" w:eastAsia="Georgia" w:hAnsi="Georgia" w:cs="Georgia"/>
        <w:sz w:val="20"/>
        <w:szCs w:val="20"/>
        <w:lang w:val="fi-FI"/>
      </w:rPr>
      <w:t xml:space="preserve">Pengaruh Pengeluaran Pemerintah dan Pajak terhadap Tingkat Kemiskinan di Indonesia </w:t>
    </w:r>
    <w:r>
      <w:rPr>
        <w:noProof/>
      </w:rPr>
      <mc:AlternateContent>
        <mc:Choice Requires="wps">
          <w:drawing>
            <wp:anchor distT="0" distB="0" distL="114300" distR="114300" simplePos="0" relativeHeight="251658240" behindDoc="0" locked="0" layoutInCell="1" hidden="0" allowOverlap="1" wp14:anchorId="059B5EB7" wp14:editId="348D4655">
              <wp:simplePos x="0" y="0"/>
              <wp:positionH relativeFrom="column">
                <wp:posOffset>1</wp:posOffset>
              </wp:positionH>
              <wp:positionV relativeFrom="paragraph">
                <wp:posOffset>190500</wp:posOffset>
              </wp:positionV>
              <wp:extent cx="0" cy="19050"/>
              <wp:effectExtent l="0" t="0" r="0" b="0"/>
              <wp:wrapNone/>
              <wp:docPr id="8" name="Straight Arrow Connector 8"/>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8"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7947" w14:textId="77777777" w:rsidR="00B25DF8" w:rsidRDefault="00B100F4">
    <w:pPr>
      <w:pBdr>
        <w:top w:val="nil"/>
        <w:left w:val="nil"/>
        <w:bottom w:val="nil"/>
        <w:right w:val="nil"/>
        <w:between w:val="nil"/>
      </w:pBdr>
      <w:tabs>
        <w:tab w:val="center" w:pos="4680"/>
        <w:tab w:val="right" w:pos="9360"/>
      </w:tabs>
      <w:spacing w:after="0" w:line="240" w:lineRule="auto"/>
      <w:rPr>
        <w:rFonts w:ascii="Georgia" w:eastAsia="Georgia" w:hAnsi="Georgia" w:cs="Georgia"/>
        <w:b/>
        <w:color w:val="000000"/>
      </w:rPr>
    </w:pPr>
    <w:proofErr w:type="spellStart"/>
    <w:r>
      <w:rPr>
        <w:rFonts w:ascii="Georgia" w:eastAsia="Georgia" w:hAnsi="Georgia" w:cs="Georgia"/>
        <w:b/>
        <w:color w:val="000000"/>
        <w:sz w:val="28"/>
        <w:szCs w:val="28"/>
      </w:rPr>
      <w:t>Jurnal</w:t>
    </w:r>
    <w:proofErr w:type="spellEnd"/>
    <w:r>
      <w:rPr>
        <w:rFonts w:ascii="Georgia" w:eastAsia="Georgia" w:hAnsi="Georgia" w:cs="Georgia"/>
        <w:b/>
        <w:color w:val="000000"/>
        <w:sz w:val="28"/>
        <w:szCs w:val="28"/>
      </w:rPr>
      <w:t xml:space="preserve"> </w:t>
    </w:r>
    <w:proofErr w:type="spellStart"/>
    <w:r>
      <w:rPr>
        <w:rFonts w:ascii="Georgia" w:eastAsia="Georgia" w:hAnsi="Georgia" w:cs="Georgia"/>
        <w:b/>
        <w:color w:val="000000"/>
        <w:sz w:val="28"/>
        <w:szCs w:val="28"/>
      </w:rPr>
      <w:t>Impresi</w:t>
    </w:r>
    <w:proofErr w:type="spellEnd"/>
    <w:r>
      <w:rPr>
        <w:rFonts w:ascii="Georgia" w:eastAsia="Georgia" w:hAnsi="Georgia" w:cs="Georgia"/>
        <w:b/>
        <w:color w:val="000000"/>
        <w:sz w:val="28"/>
        <w:szCs w:val="28"/>
      </w:rPr>
      <w:t xml:space="preserve"> Indonesia (JII)</w:t>
    </w:r>
    <w:r>
      <w:rPr>
        <w:noProof/>
      </w:rPr>
      <w:drawing>
        <wp:anchor distT="0" distB="0" distL="114300" distR="114300" simplePos="0" relativeHeight="251659264" behindDoc="0" locked="0" layoutInCell="1" hidden="0" allowOverlap="1" wp14:anchorId="2ACFF908" wp14:editId="07916CB2">
          <wp:simplePos x="0" y="0"/>
          <wp:positionH relativeFrom="column">
            <wp:posOffset>3609975</wp:posOffset>
          </wp:positionH>
          <wp:positionV relativeFrom="paragraph">
            <wp:posOffset>-49529</wp:posOffset>
          </wp:positionV>
          <wp:extent cx="2095500" cy="628650"/>
          <wp:effectExtent l="0" t="0" r="0" b="0"/>
          <wp:wrapNone/>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t="33574" b="36426"/>
                  <a:stretch>
                    <a:fillRect/>
                  </a:stretch>
                </pic:blipFill>
                <pic:spPr>
                  <a:xfrm>
                    <a:off x="0" y="0"/>
                    <a:ext cx="2095500" cy="628650"/>
                  </a:xfrm>
                  <a:prstGeom prst="rect">
                    <a:avLst/>
                  </a:prstGeom>
                  <a:ln/>
                </pic:spPr>
              </pic:pic>
            </a:graphicData>
          </a:graphic>
        </wp:anchor>
      </w:drawing>
    </w:r>
  </w:p>
  <w:p w14:paraId="2CE39CD1" w14:textId="77777777" w:rsidR="00B25DF8" w:rsidRDefault="00B100F4">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sz w:val="20"/>
        <w:szCs w:val="20"/>
      </w:rPr>
    </w:pPr>
    <w:r>
      <w:rPr>
        <w:rFonts w:ascii="Georgia" w:eastAsia="Georgia" w:hAnsi="Georgia" w:cs="Georgia"/>
        <w:color w:val="000000"/>
        <w:sz w:val="20"/>
        <w:szCs w:val="20"/>
      </w:rPr>
      <w:t>p-ISSN: 2828-1284 e-ISSN: 2810-062x</w:t>
    </w:r>
  </w:p>
  <w:p w14:paraId="3303D9DD" w14:textId="77777777" w:rsidR="00B25DF8" w:rsidRDefault="00B100F4">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sz w:val="20"/>
        <w:szCs w:val="20"/>
      </w:rPr>
    </w:pPr>
    <w:r>
      <w:rPr>
        <w:rFonts w:ascii="Georgia" w:eastAsia="Georgia" w:hAnsi="Georgia" w:cs="Georgia"/>
        <w:color w:val="000000"/>
        <w:sz w:val="20"/>
        <w:szCs w:val="20"/>
      </w:rPr>
      <w:t xml:space="preserve">website: https: //rivierapublishing.id/JII/ </w:t>
    </w:r>
    <w:proofErr w:type="spellStart"/>
    <w:r>
      <w:rPr>
        <w:rFonts w:ascii="Georgia" w:eastAsia="Georgia" w:hAnsi="Georgia" w:cs="Georgia"/>
        <w:color w:val="000000"/>
        <w:sz w:val="20"/>
        <w:szCs w:val="20"/>
      </w:rPr>
      <w:t>index.php</w:t>
    </w:r>
    <w:proofErr w:type="spellEnd"/>
    <w:r>
      <w:rPr>
        <w:rFonts w:ascii="Georgia" w:eastAsia="Georgia" w:hAnsi="Georgia" w:cs="Georgia"/>
        <w:color w:val="000000"/>
        <w:sz w:val="20"/>
        <w:szCs w:val="20"/>
      </w:rPr>
      <w:t xml:space="preserve"> / </w:t>
    </w:r>
    <w:proofErr w:type="spellStart"/>
    <w:r>
      <w:rPr>
        <w:rFonts w:ascii="Georgia" w:eastAsia="Georgia" w:hAnsi="Georgia" w:cs="Georgia"/>
        <w:color w:val="000000"/>
        <w:sz w:val="20"/>
        <w:szCs w:val="20"/>
      </w:rPr>
      <w:t>jii</w:t>
    </w:r>
    <w:proofErr w:type="spellEnd"/>
    <w:r>
      <w:rPr>
        <w:rFonts w:ascii="Georgia" w:eastAsia="Georgia" w:hAnsi="Georgia" w:cs="Georgia"/>
        <w:color w:val="000000"/>
        <w:sz w:val="20"/>
        <w:szCs w:val="20"/>
      </w:rPr>
      <w:t xml:space="preserve"> /index</w:t>
    </w:r>
    <w:r>
      <w:rPr>
        <w:noProof/>
      </w:rPr>
      <mc:AlternateContent>
        <mc:Choice Requires="wps">
          <w:drawing>
            <wp:anchor distT="0" distB="0" distL="114300" distR="114300" simplePos="0" relativeHeight="251660288" behindDoc="0" locked="0" layoutInCell="1" hidden="0" allowOverlap="1" wp14:anchorId="71039265" wp14:editId="31143390">
              <wp:simplePos x="0" y="0"/>
              <wp:positionH relativeFrom="column">
                <wp:posOffset>1</wp:posOffset>
              </wp:positionH>
              <wp:positionV relativeFrom="paragraph">
                <wp:posOffset>139700</wp:posOffset>
              </wp:positionV>
              <wp:extent cx="0" cy="19050"/>
              <wp:effectExtent l="0" t="0" r="0" b="0"/>
              <wp:wrapNone/>
              <wp:docPr id="9" name="Straight Arrow Connector 9"/>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0" cy="19050"/>
              <wp:effectExtent b="0" l="0" r="0" t="0"/>
              <wp:wrapNone/>
              <wp:docPr id="9" name="image15.png"/>
              <a:graphic>
                <a:graphicData uri="http://schemas.openxmlformats.org/drawingml/2006/picture">
                  <pic:pic>
                    <pic:nvPicPr>
                      <pic:cNvPr id="0" name="image15.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p w14:paraId="35C9C841" w14:textId="77777777" w:rsidR="00B25DF8" w:rsidRDefault="00B25DF8">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F659A"/>
    <w:multiLevelType w:val="multilevel"/>
    <w:tmpl w:val="46B606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2C54AC"/>
    <w:multiLevelType w:val="multilevel"/>
    <w:tmpl w:val="25ACAD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666689C"/>
    <w:multiLevelType w:val="multilevel"/>
    <w:tmpl w:val="CD526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7B36261"/>
    <w:multiLevelType w:val="multilevel"/>
    <w:tmpl w:val="D5A83F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962301886">
    <w:abstractNumId w:val="2"/>
  </w:num>
  <w:num w:numId="2" w16cid:durableId="1346514605">
    <w:abstractNumId w:val="3"/>
  </w:num>
  <w:num w:numId="3" w16cid:durableId="723791218">
    <w:abstractNumId w:val="0"/>
  </w:num>
  <w:num w:numId="4" w16cid:durableId="230309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DF8"/>
    <w:rsid w:val="000D29BC"/>
    <w:rsid w:val="00166DCC"/>
    <w:rsid w:val="00322F61"/>
    <w:rsid w:val="00337F03"/>
    <w:rsid w:val="00625009"/>
    <w:rsid w:val="006848D0"/>
    <w:rsid w:val="006929FB"/>
    <w:rsid w:val="009269E5"/>
    <w:rsid w:val="0099415A"/>
    <w:rsid w:val="00A16EFC"/>
    <w:rsid w:val="00A22769"/>
    <w:rsid w:val="00B100F4"/>
    <w:rsid w:val="00B25DF8"/>
    <w:rsid w:val="00B67BF1"/>
    <w:rsid w:val="00C4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6ADF2"/>
  <w15:docId w15:val="{777109F8-908D-4C78-9B5C-18C553F3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87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EB3"/>
  </w:style>
  <w:style w:type="paragraph" w:styleId="Footer">
    <w:name w:val="footer"/>
    <w:basedOn w:val="Normal"/>
    <w:link w:val="FooterChar"/>
    <w:uiPriority w:val="99"/>
    <w:unhideWhenUsed/>
    <w:rsid w:val="00787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EB3"/>
  </w:style>
  <w:style w:type="table" w:styleId="TableGrid">
    <w:name w:val="Table Grid"/>
    <w:basedOn w:val="TableNormal"/>
    <w:uiPriority w:val="39"/>
    <w:rsid w:val="008A0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6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E17"/>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styleId="PlainTable2">
    <w:name w:val="Plain Table 2"/>
    <w:basedOn w:val="TableNormal"/>
    <w:uiPriority w:val="42"/>
    <w:rsid w:val="0099415A"/>
    <w:pPr>
      <w:spacing w:after="0" w:line="240" w:lineRule="auto"/>
    </w:pPr>
    <w:rPr>
      <w:rFonts w:asciiTheme="minorHAnsi" w:eastAsiaTheme="minorHAnsi" w:hAnsiTheme="minorHAnsi" w:cstheme="minorBidi"/>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6bwvmPkYhkZfDyriv2l4HPyywA==">CgMxLjAaJQoBMBIgCh4IB0IaCg9UaW1lcyBOZXcgUm9tYW4SB0d1bmdzdWg4AHIhMWFQT1BMeGdDdl9acE9acy1TODBJWlEwWVlZWkhJUUhs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6373</Characters>
  <Application>Microsoft Office Word</Application>
  <DocSecurity>0</DocSecurity>
  <Lines>53</Lines>
  <Paragraphs>14</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RSKJ Dharmawangsa</cp:lastModifiedBy>
  <cp:revision>3</cp:revision>
  <dcterms:created xsi:type="dcterms:W3CDTF">2025-09-04T07:10:00Z</dcterms:created>
  <dcterms:modified xsi:type="dcterms:W3CDTF">2025-09-08T03:38:00Z</dcterms:modified>
</cp:coreProperties>
</file>